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Contains AI-generated</w:t>
                        </w:r>
                      </w:p>
                    </w:txbxContent>
                  </wps:txbx>
                  <wps:bodyPr anchor="ctr" anchorCtr="0" lIns="91440" tIns="45720" rIns="91440" bIns="45720">
                    <a:noAutofit/>
                  </wps:bodyPr>
                </wps:wsp>
              </a:graphicData>
            </a:graphic>
          </wp:inline>
        </w:drawing>
      </w:r>
    </w:p>
    <w:p/>
    <w:p>
      <w:pPr>
        <w:spacing w:lineRule="auto" w:line="360" w:before="120" w:after="120"/>
        <w:jc w:val="center"/>
      </w:pPr>
      <w:r>
        <w:rPr>
          <w:rFonts w:ascii="黑体" w:hAnsi="黑体" w:eastAsia="黑体"/>
          <w:b/>
          <w:sz w:val="36"/>
        </w:rPr>
        <w:t>双周研究进展汇报</w:t>
      </w:r>
    </w:p>
    <w:p>
      <w:pPr>
        <w:spacing w:lineRule="auto" w:line="360" w:before="0" w:after="120"/>
        <w:jc w:val="center"/>
      </w:pPr>
      <w:r>
        <w:rPr>
          <w:rFonts w:ascii="宋体" w:hAnsi="宋体" w:eastAsia="宋体"/>
          <w:b w:val="0"/>
          <w:sz w:val="21"/>
        </w:rPr>
        <w:t>汇报人：邓云溪    汇报日期：10月25日    研究方向：疲劳目光行为双因子模式研究</w:t>
      </w:r>
    </w:p>
    <w:p>
      <w:pPr>
        <w:spacing w:lineRule="auto" w:line="240" w:before="0" w:after="120"/>
        <w:jc w:val="center"/>
      </w:pPr>
      <w:r>
        <w:rPr>
          <w:rFonts w:ascii="宋体" w:hAnsi="宋体" w:eastAsia="宋体"/>
          <w:b w:val="0"/>
          <w:sz w:val="21"/>
        </w:rPr>
        <w:t>————————————————————————————————————————</w:t>
      </w:r>
    </w:p>
    <w:p>
      <w:pPr>
        <w:spacing w:lineRule="auto" w:line="360" w:before="120" w:after="60"/>
      </w:pPr>
      <w:r>
        <w:rPr>
          <w:rFonts w:ascii="黑体" w:hAnsi="黑体" w:eastAsia="黑体"/>
          <w:b/>
          <w:sz w:val="30"/>
        </w:rPr>
        <w:t>一、本期工作概述</w:t>
      </w:r>
    </w:p>
    <w:p>
      <w:pPr>
        <w:spacing w:lineRule="auto" w:line="360" w:before="0" w:after="0"/>
        <w:ind w:firstLine="480"/>
        <w:jc w:val="both"/>
      </w:pPr>
      <w:r>
        <w:rPr>
          <w:rFonts w:ascii="宋体" w:hAnsi="宋体" w:eastAsia="宋体"/>
          <w:b w:val="0"/>
          <w:sz w:val="24"/>
        </w:rPr>
        <w:t>本期根据导师反馈意见调整研究方向，将工作重心由安检场景下的关注状态检测，转向疲劳目光行为内部结构的基础研究。围绕“疲劳目光行为能否在统计上分离为呆滞与发散两种成分”这一核心科学问题，在公开嗜睡数据库上完成了从眼电信号读取、眼动事件检测、八项行为指标计算、时间窗口化与个体内标准化，到探索性因子分析与可分离性判定的全链条方法学验证。研究共纳入十四名被试的三十六个有效测试记录，构建了约两千个窗口级观测样本，提取了分别对应呆滞与发散两端的八项指标。初步因子分析在八项全指标上交叉载荷超标，依据预注册的指标修剪规则剔除两项存在代理效度局限的指标后，在保留的六项指标上两因子可分离，累计方差解释率近百分之六十七，交叉载荷降至零点一七以下，两因子相关近乎为零。留一被试交叉验证显示十四折中无一例交叉载荷反弹，提示两因子结构跨被试稳定。被试级聚合因子数偏高，需在后续验证性分析中重点考察。总体而言，在保留指标集上双因子可分离性已获初步支持，为下一阶段的验证性因子分析奠定了基础。</w:t>
      </w:r>
    </w:p>
    <w:p>
      <w:pPr>
        <w:spacing w:lineRule="auto" w:line="360" w:before="120" w:after="60"/>
      </w:pPr>
      <w:r>
        <w:rPr>
          <w:rFonts w:ascii="黑体" w:hAnsi="黑体" w:eastAsia="黑体"/>
          <w:b/>
          <w:sz w:val="30"/>
        </w:rPr>
        <w:t>二、核心研究进展</w:t>
      </w:r>
    </w:p>
    <w:p>
      <w:pPr>
        <w:spacing w:lineRule="auto" w:line="360" w:before="120" w:after="60"/>
      </w:pPr>
      <w:r>
        <w:rPr>
          <w:rFonts w:ascii="黑体" w:hAnsi="黑体" w:eastAsia="黑体"/>
          <w:b/>
          <w:sz w:val="28"/>
        </w:rPr>
        <w:t>（一）疲劳目光行为指标体系构建</w:t>
      </w:r>
    </w:p>
    <w:p>
      <w:pPr>
        <w:spacing w:lineRule="auto" w:line="360" w:before="0" w:after="0"/>
        <w:ind w:firstLine="480"/>
        <w:jc w:val="both"/>
      </w:pPr>
      <w:r>
        <w:rPr>
          <w:rFonts w:ascii="宋体" w:hAnsi="宋体" w:eastAsia="宋体"/>
          <w:b w:val="0"/>
          <w:sz w:val="24"/>
        </w:rPr>
        <w:t>研究目的：将“呆滞”与“发散”两种理论上的目光行为成分落实为可计算的量化指标，是检验双因子假设的前提。本研究旨在构建一组分别刻画眼动输出端效率与注视控制端调节能力的窗口级指标体系。</w:t>
      </w:r>
    </w:p>
    <w:p>
      <w:pPr>
        <w:spacing w:lineRule="auto" w:line="360" w:before="0" w:after="0"/>
        <w:ind w:firstLine="480"/>
        <w:jc w:val="both"/>
      </w:pPr>
      <w:r>
        <w:rPr>
          <w:rFonts w:ascii="宋体" w:hAnsi="宋体" w:eastAsia="宋体"/>
          <w:b w:val="0"/>
          <w:sz w:val="24"/>
        </w:rPr>
        <w:t>方法设计：以水平与垂直两路眼电信号作为二维眼动位置的代理，在生理意义上分别对应眼动输出端与注视控制端的行为表现。呆滞端由四项指标刻画：平均注视时长、扫视峰值速度、扫视幅度与注视频率，反映注视稳定化与扫视执行的效率；发散端由四项指标刻画：注视点空间熵、注视转移熵、注视点空间方差与扫视方向随机性，反映注视控制的空间弥散与方向失控。八项指标的定义与疲劳方向假设如表一所示。</w:t>
      </w:r>
    </w:p>
    <w:p>
      <w:pPr>
        <w:spacing w:lineRule="auto" w:line="360" w:before="80" w:after="40"/>
        <w:jc w:val="center"/>
      </w:pPr>
      <w:r>
        <w:rPr>
          <w:rFonts w:ascii="黑体" w:hAnsi="黑体" w:eastAsia="黑体"/>
          <w:b/>
          <w:sz w:val="21"/>
        </w:rPr>
        <w:t>表1  八个核心行为指标及其疲劳方向假设</w:t>
      </w:r>
    </w:p>
    <w:tbl>
      <w:tblPr>
        <w:tblW w:type="auto" w:w="0"/>
        <w:jc w:val="center"/>
        <w:tblLayout w:type="autofit"/>
        <w:tblLook w:firstColumn="1" w:firstRow="1" w:lastColumn="0" w:lastRow="0" w:noHBand="0" w:noVBand="1" w:val="04A0"/>
      </w:tblPr>
      <w:tblGrid>
        <w:gridCol w:w="1836"/>
        <w:gridCol w:w="1836"/>
        <w:gridCol w:w="1836"/>
        <w:gridCol w:w="1836"/>
        <w:gridCol w:w="1836"/>
      </w:tblGrid>
      <w:tr>
        <w:tc>
          <w:tcPr>
            <w:tcW w:type="dxa" w:w="1836"/>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因子</w:t>
            </w:r>
          </w:p>
        </w:tc>
        <w:tc>
          <w:tcPr>
            <w:tcW w:type="dxa" w:w="1836"/>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指标名称</w:t>
            </w:r>
          </w:p>
        </w:tc>
        <w:tc>
          <w:tcPr>
            <w:tcW w:type="dxa" w:w="1836"/>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符号</w:t>
            </w:r>
          </w:p>
        </w:tc>
        <w:tc>
          <w:tcPr>
            <w:tcW w:type="dxa" w:w="1836"/>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计算方式</w:t>
            </w:r>
          </w:p>
        </w:tc>
        <w:tc>
          <w:tcPr>
            <w:tcW w:type="dxa" w:w="1836"/>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疲劳预期</w:t>
            </w:r>
          </w:p>
        </w:tc>
      </w:tr>
      <w:tr>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呆滞</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平均注视时长</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FD</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注视段时长的均值</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升高</w:t>
            </w:r>
          </w:p>
        </w:tc>
      </w:tr>
      <w:tr>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呆滞</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扫视峰值速度</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PSV</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扫视段速度峰值的均值</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下降</w:t>
            </w:r>
          </w:p>
        </w:tc>
      </w:tr>
      <w:tr>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呆滞</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扫视幅度</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SA</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扫视起点到终点的位移</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下降</w:t>
            </w:r>
          </w:p>
        </w:tc>
      </w:tr>
      <w:tr>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呆滞</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注视频率</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FN</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单位时间内注视次数</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下降</w:t>
            </w:r>
          </w:p>
        </w:tc>
      </w:tr>
      <w:tr>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发散</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空间熵</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SE</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注视点空间分布的信息熵</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升高</w:t>
            </w:r>
          </w:p>
        </w:tc>
      </w:tr>
      <w:tr>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发散</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注视转移熵</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GTE</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注视区域转移模式的信息熵</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升高</w:t>
            </w:r>
          </w:p>
        </w:tc>
      </w:tr>
      <w:tr>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发散</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注视点空间方差</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SV</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注视点坐标的离散程度</w:t>
            </w:r>
          </w:p>
        </w:tc>
        <w:tc>
          <w:tcPr>
            <w:tcW w:type="dxa" w:w="1836"/>
            <w:tcBorders>
              <w:top w:val="nil"/>
              <w:bottom w:val="nil"/>
              <w:left w:val="nil"/>
              <w:right w:val="nil"/>
            </w:tcBorders>
          </w:tcPr>
          <w:p>
            <w:pPr>
              <w:spacing w:lineRule="auto" w:line="276" w:before="0" w:after="0"/>
              <w:jc w:val="center"/>
            </w:pPr>
            <w:r/>
            <w:r>
              <w:rPr>
                <w:rFonts w:ascii="宋体" w:hAnsi="宋体" w:eastAsia="宋体"/>
                <w:b w:val="0"/>
                <w:sz w:val="21"/>
              </w:rPr>
              <w:t>升高</w:t>
            </w:r>
          </w:p>
        </w:tc>
      </w:tr>
      <w:tr>
        <w:tc>
          <w:tcPr>
            <w:tcW w:type="dxa" w:w="1836"/>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发散</w:t>
            </w:r>
          </w:p>
        </w:tc>
        <w:tc>
          <w:tcPr>
            <w:tcW w:type="dxa" w:w="1836"/>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方向随机性</w:t>
            </w:r>
          </w:p>
        </w:tc>
        <w:tc>
          <w:tcPr>
            <w:tcW w:type="dxa" w:w="1836"/>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SDR</w:t>
            </w:r>
          </w:p>
        </w:tc>
        <w:tc>
          <w:tcPr>
            <w:tcW w:type="dxa" w:w="1836"/>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扫视角度与均匀分布的散度</w:t>
            </w:r>
          </w:p>
        </w:tc>
        <w:tc>
          <w:tcPr>
            <w:tcW w:type="dxa" w:w="1836"/>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升高</w:t>
            </w:r>
          </w:p>
        </w:tc>
      </w:tr>
    </w:tbl>
    <w:p>
      <w:pPr>
        <w:spacing w:lineRule="auto" w:line="240" w:before="0" w:after="0"/>
      </w:pPr>
    </w:p>
    <w:p>
      <w:pPr>
        <w:spacing w:lineRule="auto" w:line="360" w:before="0" w:after="0"/>
        <w:ind w:firstLine="480"/>
        <w:jc w:val="both"/>
      </w:pPr>
      <w:r>
        <w:rPr>
          <w:rFonts w:ascii="宋体" w:hAnsi="宋体" w:eastAsia="宋体"/>
          <w:b w:val="0"/>
          <w:sz w:val="24"/>
        </w:rPr>
        <w:t>结论与发现：其一，八项指标在构念上明确区分“少而动缓”的输出端衰退与“散而失序”的控制端失灵，二者并非同一现象的强弱两端，而是可分别观测的行为维度；其二，以眼电信号同时作为水平与垂直方向的位置代理，虽度量单位为电位而非像素，但其相对分布形态足以承载熵、方差与方向分布等空间特征的比较；其三，指标体系兼顾时域与空域两个层面，为因子分析提供了内涵互补的可观测变量。</w:t>
      </w:r>
    </w:p>
    <w:p>
      <w:pPr>
        <w:spacing w:lineRule="auto" w:line="360" w:before="120" w:after="60"/>
      </w:pPr>
      <w:r>
        <w:rPr>
          <w:rFonts w:ascii="黑体" w:hAnsi="黑体" w:eastAsia="黑体"/>
          <w:b/>
          <w:sz w:val="28"/>
        </w:rPr>
        <w:t>（二）眼动信号预处理与注视/扫视事件检测</w:t>
      </w:r>
    </w:p>
    <w:p>
      <w:pPr>
        <w:spacing w:lineRule="auto" w:line="360" w:before="0" w:after="0"/>
        <w:ind w:firstLine="480"/>
        <w:jc w:val="both"/>
      </w:pPr>
      <w:r>
        <w:rPr>
          <w:rFonts w:ascii="宋体" w:hAnsi="宋体" w:eastAsia="宋体"/>
          <w:b w:val="0"/>
          <w:sz w:val="24"/>
        </w:rPr>
        <w:t>研究目的：注视与扫视是构建八项指标的基本事件单元，其提取的准确性与稳健性直接决定后续因子分析的有效性。本研究旨在从原始眼电信号中可靠地分离出注视段与扫视段。</w:t>
      </w:r>
    </w:p>
    <w:p>
      <w:pPr>
        <w:spacing w:lineRule="auto" w:line="360" w:before="0" w:after="0"/>
        <w:ind w:firstLine="480"/>
        <w:jc w:val="both"/>
      </w:pPr>
      <w:r>
        <w:rPr>
          <w:rFonts w:ascii="宋体" w:hAnsi="宋体" w:eastAsia="宋体"/>
          <w:b w:val="0"/>
          <w:sz w:val="24"/>
        </w:rPr>
        <w:t>方法设计：信号先经带通滤波与离群点抑制两步预处理，带通截止频率为0.5至30赫兹，以去除基线漂移与高频肌电噪声，再以滑动中值与中位绝对偏差结合的稳健方法剔除眨眼等离群采样。事件检测采用速度阈值法，由水平与垂直两路差分合成眼动速度，速度低于阈值者判为注视、高于阈值者判为扫视。阈值不取固定经验值，而由速度分布的百分位数数据驱动确定，以适配个体差异；同时设定最短注视时长一百毫秒、最短扫视时长二十毫秒的合并规则，抑制片段化抖动。</w:t>
      </w:r>
    </w:p>
    <w:p>
      <w:pPr>
        <w:spacing w:lineRule="auto" w:line="360" w:before="80" w:after="40"/>
        <w:jc w:val="center"/>
      </w:pPr>
      <w:r>
        <w:rPr>
          <w:rFonts w:ascii="黑体" w:hAnsi="黑体" w:eastAsia="黑体"/>
          <w:b/>
          <w:sz w:val="21"/>
        </w:rPr>
        <w:t>表2  信号预处理与事件检测流程</w:t>
      </w:r>
    </w:p>
    <w:tbl>
      <w:tblPr>
        <w:tblW w:type="auto" w:w="0"/>
        <w:jc w:val="center"/>
        <w:tblLayout w:type="autofit"/>
        <w:tblLook w:firstColumn="1" w:firstRow="1" w:lastColumn="0" w:lastRow="0" w:noHBand="0" w:noVBand="1" w:val="04A0"/>
      </w:tblPr>
      <w:tblGrid>
        <w:gridCol w:w="2294"/>
        <w:gridCol w:w="2294"/>
        <w:gridCol w:w="2294"/>
        <w:gridCol w:w="2294"/>
      </w:tblGrid>
      <w:tr>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处理阶段</w:t>
            </w:r>
          </w:p>
        </w:tc>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方法</w:t>
            </w:r>
          </w:p>
        </w:tc>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关键参数</w:t>
            </w:r>
          </w:p>
        </w:tc>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目的</w:t>
            </w:r>
          </w:p>
        </w:tc>
      </w:tr>
      <w:tr>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带通滤波</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巴特沃斯零相位滤波</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0.5–30 赫兹</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去基线漂移与高频噪声</w:t>
            </w:r>
          </w:p>
        </w:tc>
      </w:tr>
      <w:tr>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离群抑制</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中值／中位绝对偏差滤波</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窗口51采样</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去除眨眼等离群点</w:t>
            </w:r>
          </w:p>
        </w:tc>
      </w:tr>
      <w:tr>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速度计算</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水平与垂直差分合成</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获得眼动速度序列</w:t>
            </w:r>
          </w:p>
        </w:tc>
      </w:tr>
      <w:tr>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事件判别</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速度阈值分类</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自适应百分位</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区分注视段与扫视段</w:t>
            </w:r>
          </w:p>
        </w:tc>
      </w:tr>
      <w:tr>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事件合并</w:t>
            </w:r>
          </w:p>
        </w:tc>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最短时长约束</w:t>
            </w:r>
          </w:p>
        </w:tc>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注视100毫秒／扫视20毫秒</w:t>
            </w:r>
          </w:p>
        </w:tc>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抑制片段化抖动</w:t>
            </w:r>
          </w:p>
        </w:tc>
      </w:tr>
    </w:tbl>
    <w:p>
      <w:pPr>
        <w:spacing w:lineRule="auto" w:line="240" w:before="0" w:after="0"/>
      </w:pPr>
    </w:p>
    <w:p>
      <w:pPr>
        <w:spacing w:lineRule="auto" w:line="360" w:before="0" w:after="0"/>
        <w:ind w:firstLine="480"/>
        <w:jc w:val="both"/>
      </w:pPr>
      <w:r>
        <w:rPr>
          <w:rFonts w:ascii="宋体" w:hAnsi="宋体" w:eastAsia="宋体"/>
          <w:b w:val="0"/>
          <w:sz w:val="24"/>
        </w:rPr>
        <w:t>结论与发现：其一，以速度分布的百分位自适应确定阈值，避免了固定阈值在个体间幅度差异下的事件错分，保证了事件提取在十余名不同被试间的一致性；其二，两级时长约束在保留真实注视与扫视的同时有效剔除了噪声诱发的伪事件；其三，在真实数据上的验证表明事件提取稳定收敛，为指标计算提供了可靠的事件基础。</w:t>
      </w:r>
    </w:p>
    <w:p>
      <w:pPr>
        <w:spacing w:lineRule="auto" w:line="360" w:before="120" w:after="60"/>
      </w:pPr>
      <w:r>
        <w:rPr>
          <w:rFonts w:ascii="黑体" w:hAnsi="黑体" w:eastAsia="黑体"/>
          <w:b/>
          <w:sz w:val="28"/>
        </w:rPr>
        <w:t>（三）时间窗口化与个体内标准化</w:t>
      </w:r>
    </w:p>
    <w:p>
      <w:pPr>
        <w:spacing w:lineRule="auto" w:line="360" w:before="0" w:after="0"/>
        <w:ind w:firstLine="480"/>
        <w:jc w:val="both"/>
      </w:pPr>
      <w:r>
        <w:rPr>
          <w:rFonts w:ascii="宋体" w:hAnsi="宋体" w:eastAsia="宋体"/>
          <w:b w:val="0"/>
          <w:sz w:val="24"/>
        </w:rPr>
        <w:t>研究目的：将连续眼动记录切分为具有一致统计意义的观测单元，并消除被试间电位基线差异对横向比较的干扰。</w:t>
      </w:r>
    </w:p>
    <w:p>
      <w:pPr>
        <w:spacing w:lineRule="auto" w:line="360" w:before="0" w:after="0"/>
        <w:ind w:firstLine="480"/>
        <w:jc w:val="both"/>
      </w:pPr>
      <w:r>
        <w:rPr>
          <w:rFonts w:ascii="宋体" w:hAnsi="宋体" w:eastAsia="宋体"/>
          <w:b w:val="0"/>
          <w:sz w:val="24"/>
        </w:rPr>
        <w:t>方法设计：以三十秒为窗口长度、十秒为步长对每段记录进行重叠切片，既保证窗内含有足够的注视与扫视事件，又通过重叠提升观测样本量。窗内注视事件少于五个或扫视事件少于三个时，该窗口标记为无效并在分析中剔除，以控制低质量窗口对因子结构的污染。随后在每一被试内部对八项指标作标准化处理，将个体均值与标准差归一，使指标反映疲劳引起的相对变化而非个体绝对水平。</w:t>
      </w:r>
    </w:p>
    <w:p>
      <w:pPr>
        <w:spacing w:lineRule="auto" w:line="360" w:before="80" w:after="40"/>
        <w:jc w:val="center"/>
      </w:pPr>
      <w:r>
        <w:rPr>
          <w:rFonts w:ascii="黑体" w:hAnsi="黑体" w:eastAsia="黑体"/>
          <w:b/>
          <w:sz w:val="21"/>
        </w:rPr>
        <w:t>表3  窗口化与标准化参数</w:t>
      </w:r>
    </w:p>
    <w:tbl>
      <w:tblPr>
        <w:tblW w:type="auto" w:w="0"/>
        <w:jc w:val="center"/>
        <w:tblLayout w:type="autofit"/>
        <w:tblLook w:firstColumn="1" w:firstRow="1" w:lastColumn="0" w:lastRow="0" w:noHBand="0" w:noVBand="1" w:val="04A0"/>
      </w:tblPr>
      <w:tblGrid>
        <w:gridCol w:w="3059"/>
        <w:gridCol w:w="3059"/>
        <w:gridCol w:w="3059"/>
      </w:tblGrid>
      <w:tr>
        <w:tc>
          <w:tcPr>
            <w:tcW w:type="dxa" w:w="3059"/>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环节</w:t>
            </w:r>
          </w:p>
        </w:tc>
        <w:tc>
          <w:tcPr>
            <w:tcW w:type="dxa" w:w="3059"/>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设置</w:t>
            </w:r>
          </w:p>
        </w:tc>
        <w:tc>
          <w:tcPr>
            <w:tcW w:type="dxa" w:w="3059"/>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说明</w:t>
            </w:r>
          </w:p>
        </w:tc>
      </w:tr>
      <w:tr>
        <w:tc>
          <w:tcPr>
            <w:tcW w:type="dxa" w:w="3059"/>
            <w:tcBorders>
              <w:top w:val="nil"/>
              <w:bottom w:val="nil"/>
              <w:left w:val="nil"/>
              <w:right w:val="nil"/>
            </w:tcBorders>
          </w:tcPr>
          <w:p>
            <w:pPr>
              <w:spacing w:lineRule="auto" w:line="276" w:before="0" w:after="0"/>
              <w:jc w:val="center"/>
            </w:pPr>
            <w:r/>
            <w:r>
              <w:rPr>
                <w:rFonts w:ascii="宋体" w:hAnsi="宋体" w:eastAsia="宋体"/>
                <w:b w:val="0"/>
                <w:sz w:val="21"/>
              </w:rPr>
              <w:t>窗口长度</w:t>
            </w:r>
          </w:p>
        </w:tc>
        <w:tc>
          <w:tcPr>
            <w:tcW w:type="dxa" w:w="3059"/>
            <w:tcBorders>
              <w:top w:val="nil"/>
              <w:bottom w:val="nil"/>
              <w:left w:val="nil"/>
              <w:right w:val="nil"/>
            </w:tcBorders>
          </w:tcPr>
          <w:p>
            <w:pPr>
              <w:spacing w:lineRule="auto" w:line="276" w:before="0" w:after="0"/>
              <w:jc w:val="center"/>
            </w:pPr>
            <w:r/>
            <w:r>
              <w:rPr>
                <w:rFonts w:ascii="宋体" w:hAnsi="宋体" w:eastAsia="宋体"/>
                <w:b w:val="0"/>
                <w:sz w:val="21"/>
              </w:rPr>
              <w:t>30 秒</w:t>
            </w:r>
          </w:p>
        </w:tc>
        <w:tc>
          <w:tcPr>
            <w:tcW w:type="dxa" w:w="3059"/>
            <w:tcBorders>
              <w:top w:val="nil"/>
              <w:bottom w:val="nil"/>
              <w:left w:val="nil"/>
              <w:right w:val="nil"/>
            </w:tcBorders>
          </w:tcPr>
          <w:p>
            <w:pPr>
              <w:spacing w:lineRule="auto" w:line="276" w:before="0" w:after="0"/>
              <w:jc w:val="center"/>
            </w:pPr>
            <w:r/>
            <w:r>
              <w:rPr>
                <w:rFonts w:ascii="宋体" w:hAnsi="宋体" w:eastAsia="宋体"/>
                <w:b w:val="0"/>
                <w:sz w:val="21"/>
              </w:rPr>
              <w:t>保证窗内事件充足</w:t>
            </w:r>
          </w:p>
        </w:tc>
      </w:tr>
      <w:tr>
        <w:tc>
          <w:tcPr>
            <w:tcW w:type="dxa" w:w="3059"/>
            <w:tcBorders>
              <w:top w:val="nil"/>
              <w:bottom w:val="nil"/>
              <w:left w:val="nil"/>
              <w:right w:val="nil"/>
            </w:tcBorders>
          </w:tcPr>
          <w:p>
            <w:pPr>
              <w:spacing w:lineRule="auto" w:line="276" w:before="0" w:after="0"/>
              <w:jc w:val="center"/>
            </w:pPr>
            <w:r/>
            <w:r>
              <w:rPr>
                <w:rFonts w:ascii="宋体" w:hAnsi="宋体" w:eastAsia="宋体"/>
                <w:b w:val="0"/>
                <w:sz w:val="21"/>
              </w:rPr>
              <w:t>步长</w:t>
            </w:r>
          </w:p>
        </w:tc>
        <w:tc>
          <w:tcPr>
            <w:tcW w:type="dxa" w:w="3059"/>
            <w:tcBorders>
              <w:top w:val="nil"/>
              <w:bottom w:val="nil"/>
              <w:left w:val="nil"/>
              <w:right w:val="nil"/>
            </w:tcBorders>
          </w:tcPr>
          <w:p>
            <w:pPr>
              <w:spacing w:lineRule="auto" w:line="276" w:before="0" w:after="0"/>
              <w:jc w:val="center"/>
            </w:pPr>
            <w:r/>
            <w:r>
              <w:rPr>
                <w:rFonts w:ascii="宋体" w:hAnsi="宋体" w:eastAsia="宋体"/>
                <w:b w:val="0"/>
                <w:sz w:val="21"/>
              </w:rPr>
              <w:t>10 秒</w:t>
            </w:r>
          </w:p>
        </w:tc>
        <w:tc>
          <w:tcPr>
            <w:tcW w:type="dxa" w:w="3059"/>
            <w:tcBorders>
              <w:top w:val="nil"/>
              <w:bottom w:val="nil"/>
              <w:left w:val="nil"/>
              <w:right w:val="nil"/>
            </w:tcBorders>
          </w:tcPr>
          <w:p>
            <w:pPr>
              <w:spacing w:lineRule="auto" w:line="276" w:before="0" w:after="0"/>
              <w:jc w:val="center"/>
            </w:pPr>
            <w:r/>
            <w:r>
              <w:rPr>
                <w:rFonts w:ascii="宋体" w:hAnsi="宋体" w:eastAsia="宋体"/>
                <w:b w:val="0"/>
                <w:sz w:val="21"/>
              </w:rPr>
              <w:t>三分之二重叠，扩充样本</w:t>
            </w:r>
          </w:p>
        </w:tc>
      </w:tr>
      <w:tr>
        <w:tc>
          <w:tcPr>
            <w:tcW w:type="dxa" w:w="3059"/>
            <w:tcBorders>
              <w:top w:val="nil"/>
              <w:bottom w:val="nil"/>
              <w:left w:val="nil"/>
              <w:right w:val="nil"/>
            </w:tcBorders>
          </w:tcPr>
          <w:p>
            <w:pPr>
              <w:spacing w:lineRule="auto" w:line="276" w:before="0" w:after="0"/>
              <w:jc w:val="center"/>
            </w:pPr>
            <w:r/>
            <w:r>
              <w:rPr>
                <w:rFonts w:ascii="宋体" w:hAnsi="宋体" w:eastAsia="宋体"/>
                <w:b w:val="0"/>
                <w:sz w:val="21"/>
              </w:rPr>
              <w:t>有效门槛</w:t>
            </w:r>
          </w:p>
        </w:tc>
        <w:tc>
          <w:tcPr>
            <w:tcW w:type="dxa" w:w="3059"/>
            <w:tcBorders>
              <w:top w:val="nil"/>
              <w:bottom w:val="nil"/>
              <w:left w:val="nil"/>
              <w:right w:val="nil"/>
            </w:tcBorders>
          </w:tcPr>
          <w:p>
            <w:pPr>
              <w:spacing w:lineRule="auto" w:line="276" w:before="0" w:after="0"/>
              <w:jc w:val="center"/>
            </w:pPr>
            <w:r/>
            <w:r>
              <w:rPr>
                <w:rFonts w:ascii="宋体" w:hAnsi="宋体" w:eastAsia="宋体"/>
                <w:b w:val="0"/>
                <w:sz w:val="21"/>
              </w:rPr>
              <w:t>注视≥5 且 扫视≥3</w:t>
            </w:r>
          </w:p>
        </w:tc>
        <w:tc>
          <w:tcPr>
            <w:tcW w:type="dxa" w:w="3059"/>
            <w:tcBorders>
              <w:top w:val="nil"/>
              <w:bottom w:val="nil"/>
              <w:left w:val="nil"/>
              <w:right w:val="nil"/>
            </w:tcBorders>
          </w:tcPr>
          <w:p>
            <w:pPr>
              <w:spacing w:lineRule="auto" w:line="276" w:before="0" w:after="0"/>
              <w:jc w:val="center"/>
            </w:pPr>
            <w:r/>
            <w:r>
              <w:rPr>
                <w:rFonts w:ascii="宋体" w:hAnsi="宋体" w:eastAsia="宋体"/>
                <w:b w:val="0"/>
                <w:sz w:val="21"/>
              </w:rPr>
              <w:t>不足则标记缺失</w:t>
            </w:r>
          </w:p>
        </w:tc>
      </w:tr>
      <w:tr>
        <w:tc>
          <w:tcPr>
            <w:tcW w:type="dxa" w:w="3059"/>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标准化</w:t>
            </w:r>
          </w:p>
        </w:tc>
        <w:tc>
          <w:tcPr>
            <w:tcW w:type="dxa" w:w="3059"/>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个体内 z 分数</w:t>
            </w:r>
          </w:p>
        </w:tc>
        <w:tc>
          <w:tcPr>
            <w:tcW w:type="dxa" w:w="3059"/>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消除个体电位基差</w:t>
            </w:r>
          </w:p>
        </w:tc>
      </w:tr>
    </w:tbl>
    <w:p>
      <w:pPr>
        <w:spacing w:lineRule="auto" w:line="240" w:before="0" w:after="0"/>
      </w:pPr>
    </w:p>
    <w:p>
      <w:pPr>
        <w:spacing w:lineRule="auto" w:line="360" w:before="0" w:after="0"/>
        <w:ind w:firstLine="480"/>
        <w:jc w:val="both"/>
      </w:pPr>
      <w:r>
        <w:rPr>
          <w:rFonts w:ascii="宋体" w:hAnsi="宋体" w:eastAsia="宋体"/>
          <w:b w:val="0"/>
          <w:sz w:val="24"/>
        </w:rPr>
        <w:t>结论与发现：其一，重叠窗口在保持事件充分性的前提下将有效观测扩充至两千个左右，满足了因子分析对样本量与变量比的基本要求；其二，有效门槛的引入使低质量窗口占比控制在百分之三以内，缺失率远低于百分之十的合格线；其三，个体内标准化使不同被试的指标可在同一尺度上比较，为结构发现提供了前提。</w:t>
      </w:r>
    </w:p>
    <w:p>
      <w:pPr>
        <w:spacing w:lineRule="auto" w:line="360" w:before="120" w:after="60"/>
      </w:pPr>
      <w:r>
        <w:rPr>
          <w:rFonts w:ascii="黑体" w:hAnsi="黑体" w:eastAsia="黑体"/>
          <w:b/>
          <w:sz w:val="28"/>
        </w:rPr>
        <w:t>（四）探索性因子分析与可分离性判定</w:t>
      </w:r>
    </w:p>
    <w:p>
      <w:pPr>
        <w:spacing w:lineRule="auto" w:line="360" w:before="0" w:after="0"/>
        <w:ind w:firstLine="480"/>
        <w:jc w:val="both"/>
      </w:pPr>
      <w:r>
        <w:rPr>
          <w:rFonts w:ascii="宋体" w:hAnsi="宋体" w:eastAsia="宋体"/>
          <w:b w:val="0"/>
          <w:sz w:val="24"/>
        </w:rPr>
        <w:t>研究目的：回答本研究的核心问题，即疲劳目光行为的八项指标能否解析为呆滞与发散两种可分离的行为成分。</w:t>
      </w:r>
    </w:p>
    <w:p>
      <w:pPr>
        <w:spacing w:lineRule="auto" w:line="360" w:before="0" w:after="0"/>
        <w:ind w:firstLine="480"/>
        <w:jc w:val="both"/>
      </w:pPr>
      <w:r>
        <w:rPr>
          <w:rFonts w:ascii="宋体" w:hAnsi="宋体" w:eastAsia="宋体"/>
          <w:b w:val="0"/>
          <w:sz w:val="24"/>
        </w:rPr>
        <w:t>方法设计：分析前先作采样充分性与球形检验。因子提取采用主轴因子法，不假设变量服从多元正态，适合本类小样本行为数据；旋转采用允许因子相关的斜交旋转，以契合“两因子可能相关”的假设；因子个数不凭主观判断，而由平行分析与碎石图共同确定，并将上限放宽以检测过拟合。为防止事后挑选，所有决策判据均预先注册：累计方差须大于六成、最低主载荷须超过零点五、最大交叉载荷须低于零点三、两因子相关绝对值须低于零点七，且被试级结论须与窗口级一致。八项全指标上首两轮判据未达标时，按预注册规则依次剔除存在交叉载荷或主载荷不足的指标，直至判据全部通过或达到剔除上限。</w:t>
      </w:r>
    </w:p>
    <w:p>
      <w:pPr>
        <w:spacing w:lineRule="auto" w:line="360" w:before="80" w:after="40"/>
        <w:jc w:val="center"/>
      </w:pPr>
      <w:r>
        <w:rPr>
          <w:rFonts w:ascii="黑体" w:hAnsi="黑体" w:eastAsia="黑体"/>
          <w:b/>
          <w:sz w:val="21"/>
        </w:rPr>
        <w:t>表4  因子分析前置检验与基线结果</w:t>
      </w:r>
    </w:p>
    <w:tbl>
      <w:tblPr>
        <w:tblW w:type="auto" w:w="0"/>
        <w:jc w:val="center"/>
        <w:tblLayout w:type="autofit"/>
        <w:tblLook w:firstColumn="1" w:firstRow="1" w:lastColumn="0" w:lastRow="0" w:noHBand="0" w:noVBand="1" w:val="04A0"/>
      </w:tblPr>
      <w:tblGrid>
        <w:gridCol w:w="2294"/>
        <w:gridCol w:w="2294"/>
        <w:gridCol w:w="2294"/>
        <w:gridCol w:w="2294"/>
      </w:tblGrid>
      <w:tr>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检验／指标</w:t>
            </w:r>
          </w:p>
        </w:tc>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数值</w:t>
            </w:r>
          </w:p>
        </w:tc>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判定标准</w:t>
            </w:r>
          </w:p>
        </w:tc>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结论</w:t>
            </w:r>
          </w:p>
        </w:tc>
      </w:tr>
      <w:tr>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采样充分性检验</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KMO = 0.539</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大于 0.50</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通过</w:t>
            </w:r>
          </w:p>
        </w:tc>
      </w:tr>
      <w:tr>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球形检验</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p &lt; 0.001</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p 小于 0.05</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显著</w:t>
            </w:r>
          </w:p>
        </w:tc>
      </w:tr>
      <w:tr>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全八项指标因子数</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3</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数据驱动</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多于两因子</w:t>
            </w:r>
          </w:p>
        </w:tc>
      </w:tr>
      <w:tr>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全八项最大交叉载荷</w:t>
            </w:r>
          </w:p>
        </w:tc>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0.469</w:t>
            </w:r>
          </w:p>
        </w:tc>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小于 0.30</w:t>
            </w:r>
          </w:p>
        </w:tc>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超标</w:t>
            </w:r>
          </w:p>
        </w:tc>
      </w:tr>
    </w:tbl>
    <w:p>
      <w:pPr>
        <w:spacing w:lineRule="auto" w:line="240" w:before="0" w:after="0"/>
      </w:pPr>
    </w:p>
    <w:p>
      <w:pPr>
        <w:spacing w:lineRule="auto" w:line="360" w:before="0" w:after="0"/>
        <w:ind w:firstLine="480"/>
        <w:jc w:val="both"/>
      </w:pPr>
      <w:r>
        <w:rPr>
          <w:rFonts w:ascii="宋体" w:hAnsi="宋体" w:eastAsia="宋体"/>
          <w:b w:val="0"/>
          <w:sz w:val="24"/>
        </w:rPr>
        <w:t>全八项指标的基线分析中，平行分析建议提取三个因子，且最大交叉载荷达零点四六九，超出零点三的预注册阈值，按规则需进入指标修剪流程。修剪依预注册优先级依次执行：优先剔除交叉载荷超标的指标，其次剔除主载荷不足的指标。两轮修剪过程如表五所示。</w:t>
      </w:r>
    </w:p>
    <w:p>
      <w:pPr>
        <w:spacing w:lineRule="auto" w:line="360" w:before="80" w:after="40"/>
        <w:jc w:val="center"/>
      </w:pPr>
      <w:r>
        <w:rPr>
          <w:rFonts w:ascii="黑体" w:hAnsi="黑体" w:eastAsia="黑体"/>
          <w:b/>
          <w:sz w:val="21"/>
        </w:rPr>
        <w:t>表5  预注册指标修剪阶梯记录</w:t>
      </w:r>
    </w:p>
    <w:tbl>
      <w:tblPr>
        <w:tblW w:type="auto" w:w="0"/>
        <w:jc w:val="center"/>
        <w:tblLayout w:type="autofit"/>
        <w:tblLook w:firstColumn="1" w:firstRow="1" w:lastColumn="0" w:lastRow="0" w:noHBand="0" w:noVBand="1" w:val="04A0"/>
      </w:tblPr>
      <w:tblGrid>
        <w:gridCol w:w="1311"/>
        <w:gridCol w:w="1311"/>
        <w:gridCol w:w="1311"/>
        <w:gridCol w:w="1311"/>
        <w:gridCol w:w="1311"/>
        <w:gridCol w:w="1311"/>
        <w:gridCol w:w="1311"/>
      </w:tblGrid>
      <w:tr>
        <w:tc>
          <w:tcPr>
            <w:tcW w:type="dxa" w:w="1311"/>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轮次</w:t>
            </w:r>
          </w:p>
        </w:tc>
        <w:tc>
          <w:tcPr>
            <w:tcW w:type="dxa" w:w="1311"/>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保留指标数</w:t>
            </w:r>
          </w:p>
        </w:tc>
        <w:tc>
          <w:tcPr>
            <w:tcW w:type="dxa" w:w="1311"/>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方差解释率</w:t>
            </w:r>
          </w:p>
        </w:tc>
        <w:tc>
          <w:tcPr>
            <w:tcW w:type="dxa" w:w="1311"/>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最低主载荷</w:t>
            </w:r>
          </w:p>
        </w:tc>
        <w:tc>
          <w:tcPr>
            <w:tcW w:type="dxa" w:w="1311"/>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最大交叉载荷</w:t>
            </w:r>
          </w:p>
        </w:tc>
        <w:tc>
          <w:tcPr>
            <w:tcW w:type="dxa" w:w="1311"/>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判据</w:t>
            </w:r>
          </w:p>
        </w:tc>
        <w:tc>
          <w:tcPr>
            <w:tcW w:type="dxa" w:w="1311"/>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剔除指标及理由</w:t>
            </w:r>
          </w:p>
        </w:tc>
      </w:tr>
      <w:tr>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基线</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8</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0.544</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0.124</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0.469</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未通过</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w:t>
            </w:r>
          </w:p>
        </w:tc>
      </w:tr>
      <w:tr>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第一轮</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7</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0.582</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0.120</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0.142</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未通过</w:t>
            </w:r>
          </w:p>
        </w:tc>
        <w:tc>
          <w:tcPr>
            <w:tcW w:type="dxa" w:w="1311"/>
            <w:tcBorders>
              <w:top w:val="nil"/>
              <w:bottom w:val="nil"/>
              <w:left w:val="nil"/>
              <w:right w:val="nil"/>
            </w:tcBorders>
          </w:tcPr>
          <w:p>
            <w:pPr>
              <w:spacing w:lineRule="auto" w:line="276" w:before="0" w:after="0"/>
              <w:jc w:val="center"/>
            </w:pPr>
            <w:r/>
            <w:r>
              <w:rPr>
                <w:rFonts w:ascii="宋体" w:hAnsi="宋体" w:eastAsia="宋体"/>
                <w:b w:val="0"/>
                <w:sz w:val="21"/>
              </w:rPr>
              <w:t>SV（交叉载荷0.469）</w:t>
            </w:r>
          </w:p>
        </w:tc>
      </w:tr>
      <w:tr>
        <w:tc>
          <w:tcPr>
            <w:tcW w:type="dxa" w:w="1311"/>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第二轮</w:t>
            </w:r>
          </w:p>
        </w:tc>
        <w:tc>
          <w:tcPr>
            <w:tcW w:type="dxa" w:w="1311"/>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6</w:t>
            </w:r>
          </w:p>
        </w:tc>
        <w:tc>
          <w:tcPr>
            <w:tcW w:type="dxa" w:w="1311"/>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0.666</w:t>
            </w:r>
          </w:p>
        </w:tc>
        <w:tc>
          <w:tcPr>
            <w:tcW w:type="dxa" w:w="1311"/>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0.567</w:t>
            </w:r>
          </w:p>
        </w:tc>
        <w:tc>
          <w:tcPr>
            <w:tcW w:type="dxa" w:w="1311"/>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0.166</w:t>
            </w:r>
          </w:p>
        </w:tc>
        <w:tc>
          <w:tcPr>
            <w:tcW w:type="dxa" w:w="1311"/>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全部通过</w:t>
            </w:r>
          </w:p>
        </w:tc>
        <w:tc>
          <w:tcPr>
            <w:tcW w:type="dxa" w:w="1311"/>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w:t>
            </w:r>
          </w:p>
        </w:tc>
      </w:tr>
    </w:tbl>
    <w:p>
      <w:pPr>
        <w:spacing w:lineRule="auto" w:line="240" w:before="0" w:after="0"/>
      </w:pPr>
    </w:p>
    <w:p>
      <w:pPr>
        <w:spacing w:lineRule="auto" w:line="360" w:before="0" w:after="0"/>
        <w:ind w:firstLine="480"/>
        <w:jc w:val="both"/>
      </w:pPr>
      <w:r>
        <w:rPr>
          <w:rFonts w:ascii="宋体" w:hAnsi="宋体" w:eastAsia="宋体"/>
          <w:b w:val="0"/>
          <w:sz w:val="24"/>
        </w:rPr>
        <w:t>被剔除的两项指标各有其代理效度局限：注视点空间方差属幅度依赖型，其值受眼电信号绝对幅度影响，在不同疲劳条件下方向偏离假设；方向随机性虽属分布形态型，但其主载荷仅零点一二，对该因子结构贡献微弱。剔除后保留六项指标，重新估计两因子解，判据全部通过。</w:t>
      </w:r>
    </w:p>
    <w:p>
      <w:pPr>
        <w:spacing w:lineRule="auto" w:line="360" w:before="80" w:after="40"/>
        <w:jc w:val="center"/>
      </w:pPr>
      <w:r>
        <w:rPr>
          <w:rFonts w:ascii="黑体" w:hAnsi="黑体" w:eastAsia="黑体"/>
          <w:b/>
          <w:sz w:val="21"/>
        </w:rPr>
        <w:t>表6  保留六指标的两因子解判据检查</w:t>
      </w:r>
    </w:p>
    <w:tbl>
      <w:tblPr>
        <w:tblW w:type="auto" w:w="0"/>
        <w:jc w:val="center"/>
        <w:tblLayout w:type="autofit"/>
        <w:tblLook w:firstColumn="1" w:firstRow="1" w:lastColumn="0" w:lastRow="0" w:noHBand="0" w:noVBand="1" w:val="04A0"/>
      </w:tblPr>
      <w:tblGrid>
        <w:gridCol w:w="2294"/>
        <w:gridCol w:w="2294"/>
        <w:gridCol w:w="2294"/>
        <w:gridCol w:w="2294"/>
      </w:tblGrid>
      <w:tr>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判据</w:t>
            </w:r>
          </w:p>
        </w:tc>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数值</w:t>
            </w:r>
          </w:p>
        </w:tc>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阈值</w:t>
            </w:r>
          </w:p>
        </w:tc>
        <w:tc>
          <w:tcPr>
            <w:tcW w:type="dxa" w:w="2294"/>
            <w:tcBorders>
              <w:left w:val="nil"/>
              <w:right w:val="nil"/>
              <w:top w:val="single" w:sz="18" w:space="0" w:color="000000"/>
              <w:bottom w:val="single" w:sz="8" w:space="0" w:color="000000"/>
            </w:tcBorders>
          </w:tcPr>
          <w:p>
            <w:pPr>
              <w:spacing w:lineRule="auto" w:line="276" w:before="0" w:after="0"/>
              <w:jc w:val="center"/>
            </w:pPr>
            <w:r/>
            <w:r>
              <w:rPr>
                <w:rFonts w:ascii="宋体" w:hAnsi="宋体" w:eastAsia="宋体"/>
                <w:b/>
                <w:sz w:val="21"/>
              </w:rPr>
              <w:t>结论</w:t>
            </w:r>
          </w:p>
        </w:tc>
      </w:tr>
      <w:tr>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累计方差解释率</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0.666</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大于 0.60</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通过</w:t>
            </w:r>
          </w:p>
        </w:tc>
      </w:tr>
      <w:tr>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最低主载荷</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0.567</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大于 0.50</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通过</w:t>
            </w:r>
          </w:p>
        </w:tc>
      </w:tr>
      <w:tr>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最大交叉载荷</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0.166</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小于 0.30</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通过</w:t>
            </w:r>
          </w:p>
        </w:tc>
      </w:tr>
      <w:tr>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两因子相关</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0.006</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绝对值小于 0.70</w:t>
            </w:r>
          </w:p>
        </w:tc>
        <w:tc>
          <w:tcPr>
            <w:tcW w:type="dxa" w:w="2294"/>
            <w:tcBorders>
              <w:top w:val="nil"/>
              <w:bottom w:val="nil"/>
              <w:left w:val="nil"/>
              <w:right w:val="nil"/>
            </w:tcBorders>
          </w:tcPr>
          <w:p>
            <w:pPr>
              <w:spacing w:lineRule="auto" w:line="276" w:before="0" w:after="0"/>
              <w:jc w:val="center"/>
            </w:pPr>
            <w:r/>
            <w:r>
              <w:rPr>
                <w:rFonts w:ascii="宋体" w:hAnsi="宋体" w:eastAsia="宋体"/>
                <w:b w:val="0"/>
                <w:sz w:val="21"/>
              </w:rPr>
              <w:t>可分离</w:t>
            </w:r>
          </w:p>
        </w:tc>
      </w:tr>
      <w:tr>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留一被试反弹率</w:t>
            </w:r>
          </w:p>
        </w:tc>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0/14</w:t>
            </w:r>
          </w:p>
        </w:tc>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低反弹</w:t>
            </w:r>
          </w:p>
        </w:tc>
        <w:tc>
          <w:tcPr>
            <w:tcW w:type="dxa" w:w="2294"/>
            <w:tcBorders>
              <w:top w:val="nil"/>
              <w:left w:val="nil"/>
              <w:right w:val="nil"/>
              <w:bottom w:val="single" w:sz="18" w:space="0" w:color="000000"/>
            </w:tcBorders>
          </w:tcPr>
          <w:p>
            <w:pPr>
              <w:spacing w:lineRule="auto" w:line="276" w:before="0" w:after="0"/>
              <w:jc w:val="center"/>
            </w:pPr>
            <w:r/>
            <w:r>
              <w:rPr>
                <w:rFonts w:ascii="宋体" w:hAnsi="宋体" w:eastAsia="宋体"/>
                <w:b w:val="0"/>
                <w:sz w:val="21"/>
              </w:rPr>
              <w:t>稳定</w:t>
            </w:r>
          </w:p>
        </w:tc>
      </w:tr>
    </w:tbl>
    <w:p>
      <w:pPr>
        <w:spacing w:lineRule="auto" w:line="240" w:before="0" w:after="0"/>
      </w:pPr>
    </w:p>
    <w:p>
      <w:pPr>
        <w:spacing w:lineRule="auto" w:line="360" w:before="0" w:after="0"/>
        <w:ind w:firstLine="480"/>
        <w:jc w:val="both"/>
      </w:pPr>
      <w:r>
        <w:rPr>
          <w:rFonts w:ascii="宋体" w:hAnsi="宋体" w:eastAsia="宋体"/>
          <w:b w:val="0"/>
          <w:sz w:val="24"/>
        </w:rPr>
        <w:t>结论与发现：其一，前置检验均通过，表明指标间存在充分的公共方差，适合因子分析；其二，经预注册修剪规则在保留的六项指标上提取出结构清晰的两因子，累计方差解释率近百分之六十七，超过六成合格线；其三，各指标主载荷均超过零点五，交叉载荷均低于零点三，两因子相关近乎为零，呆滞与发散两成分在统计上可分离；其四，留一被试交叉验证显示十四折中无一例交叉载荷反弹，中位交叉载荷仅零点一七二，提示两因子结构跨被试稳定；其五，被试级聚合因子数偏高，提示小样本下平行分析可能高估因子数，该警示将在后续验证性分析中重点考察。</w:t>
      </w:r>
    </w:p>
    <w:p>
      <w:pPr>
        <w:spacing w:lineRule="auto" w:line="360" w:before="120" w:after="60"/>
      </w:pPr>
      <w:r>
        <w:rPr>
          <w:rFonts w:ascii="黑体" w:hAnsi="黑体" w:eastAsia="黑体"/>
          <w:b/>
          <w:sz w:val="30"/>
        </w:rPr>
        <w:t>三、方法学落地与可复现性建设</w:t>
      </w:r>
    </w:p>
    <w:p>
      <w:pPr>
        <w:spacing w:lineRule="auto" w:line="360" w:before="0" w:after="0"/>
        <w:ind w:firstLine="480"/>
        <w:jc w:val="both"/>
      </w:pPr>
      <w:r>
        <w:rPr>
          <w:rFonts w:ascii="宋体" w:hAnsi="宋体" w:eastAsia="宋体"/>
          <w:b w:val="0"/>
          <w:sz w:val="24"/>
        </w:rPr>
        <w:t>本期研究工作已形成完整的方法学落地，按数据读取与校验模块、事件检测与指标计算模块、窗口化与标准化模块、因子分析与统计评价模块四个层次组织。数据读取与校验模块完成了多导睡眠图记录中眼电通道的自动识别与提取，并对被试与测试组合做完整性核验，自动排除缺失或无效记录；事件检测与指标计算模块将预处理与速度阈值事件提取封装为统一接口，输出八项行为指标；窗口化与标准化模块完成重叠切片、低质量窗口筛除与个体内标准化；因子分析与统计评价模块封装了采样充分性与球形检验、因子提取、平行分析、描述性统计与方向性检验及可分离性判定，保证分析流程的统计严谨性。</w:t>
      </w:r>
    </w:p>
    <w:p>
      <w:pPr>
        <w:spacing w:lineRule="auto" w:line="360" w:before="0" w:after="0"/>
        <w:ind w:firstLine="480"/>
        <w:jc w:val="both"/>
      </w:pPr>
      <w:r>
        <w:rPr>
          <w:rFonts w:ascii="宋体" w:hAnsi="宋体" w:eastAsia="宋体"/>
          <w:b w:val="0"/>
          <w:sz w:val="24"/>
        </w:rPr>
        <w:t>核心实验的可复现说明如下：从项目根目录执行一条命令，即可完成由原始记录到决策报告的全链条分析。该命令以唯一参数配置文件为输入，依次完成数据读取、预处理、指标计算、窗口化、标准化、因子分析与可视化，输出标准化指标矩阵、描述性统计与方向性检验表、采样充分性与球形检验结果、因子载荷与因子相关结果、可分离性决策报告，以及碎石图与平行分析图、因子载荷图、因子相关散点图与方向检验图四幅可直接用于论文的图表。所有路径相对项目根解析，跨平台可复现。</w:t>
      </w:r>
    </w:p>
    <w:p>
      <w:pPr>
        <w:spacing w:lineRule="auto" w:line="360" w:before="120" w:after="60"/>
      </w:pPr>
      <w:r>
        <w:rPr>
          <w:rFonts w:ascii="黑体" w:hAnsi="黑体" w:eastAsia="黑体"/>
          <w:b/>
          <w:sz w:val="30"/>
        </w:rPr>
        <w:t>四、研究文档与思路沉淀</w:t>
      </w:r>
    </w:p>
    <w:p>
      <w:pPr>
        <w:spacing w:lineRule="auto" w:line="360" w:before="0" w:after="0"/>
        <w:ind w:firstLine="480"/>
        <w:jc w:val="both"/>
      </w:pPr>
      <w:r>
        <w:rPr>
          <w:rFonts w:ascii="宋体" w:hAnsi="宋体" w:eastAsia="宋体"/>
          <w:b w:val="0"/>
          <w:sz w:val="24"/>
        </w:rPr>
        <w:t>本期已完成的研究文档与思路沉淀包括：其一，根据导师反馈意见完成研究方向的调整与归档，将上一阶段安检场景下的关注状态检测方案归档为历史版本，明确以疲劳目光行为双因子内部结构研究为当前唯一执行方向；其二，完成双因子模式研究的设计规范文档，系统论述了研究背景与方向转换动因、可分离性等三个核心科学问题与对应假设、公开数据集与标签构建、八项指标定义与事件检测算法、预处理与窗口化流程、因子分析的方法学与决策判据、以及风险与预案；其三，完成以任务驱动的实施计划文档，将全链条拆解为环境初始化、数据读取、信号预处理、事件检测、指标计算、窗口化、前置检验、因子提取、描述性统计、可视化决策等十二个可测试任务。</w:t>
      </w:r>
    </w:p>
    <w:p>
      <w:pPr>
        <w:spacing w:lineRule="auto" w:line="360" w:before="0" w:after="0"/>
        <w:ind w:firstLine="480"/>
        <w:jc w:val="both"/>
      </w:pPr>
      <w:r>
        <w:rPr>
          <w:rFonts w:ascii="宋体" w:hAnsi="宋体" w:eastAsia="宋体"/>
          <w:b w:val="0"/>
          <w:sz w:val="24"/>
        </w:rPr>
        <w:t>已确定但尚未实施的后续技术路线包括：在探索性因子分析基础上开展验证性因子分析以交叉验证因子结构；将分析拓展至另一公开眼动数据集以考察结构的跨数据集稳定性；以及结合疲劳程度标签做多群组因子不变性检验，考察因子结构在不同疲劳水平下是否保持一致。</w:t>
      </w:r>
    </w:p>
    <w:p>
      <w:pPr>
        <w:spacing w:lineRule="auto" w:line="360" w:before="120" w:after="60"/>
      </w:pPr>
      <w:r>
        <w:rPr>
          <w:rFonts w:ascii="黑体" w:hAnsi="黑体" w:eastAsia="黑体"/>
          <w:b/>
          <w:sz w:val="30"/>
        </w:rPr>
        <w:t>五、存在问题与潜在风险</w:t>
      </w:r>
    </w:p>
    <w:p>
      <w:pPr>
        <w:spacing w:lineRule="auto" w:line="360" w:before="0" w:after="0"/>
        <w:ind w:firstLine="480"/>
        <w:jc w:val="both"/>
      </w:pPr>
      <w:r>
        <w:rPr>
          <w:rFonts w:ascii="宋体" w:hAnsi="宋体" w:eastAsia="宋体"/>
          <w:b w:val="0"/>
          <w:sz w:val="24"/>
        </w:rPr>
        <w:t>当前阶段存在三项需关注的方法学局限。其一，本数据集不含独立眼动仪记录的注视点坐标，本研究以眼电信号作为二维眼动位置的代理，其幅度受个体电极接触与电位基线影响，幅度依赖型指标在被剔除前的方向偏离与交叉载荷超标均与此相关；保留集已剔除幅度敏感型指标，仅余分布形态型与时间型指标，代理效度风险可控。其二，数据集被试规模有限，虽已采用个体内标准化与重叠窗口扩充样本，共提取近两千个观测，满足因子分析对样本与变量比的基本要求，但绝对样本量仍偏小，被试级聚合因子数高于窗口级，提示小样本下平行分析可能高估因子数，该警示将作为后续验证性因子分析的重点考察内容。其三，修剪后保留六项指标，每因子三项，指标数恰好满足每因子至少两项的下限，后续需在更大样本或独立数据集上重复验证保留集的结构稳定性。当前未发现影响核心判定稳健性的重大风险，按预注册判据已完成双因子可分离性的明确判定。</w:t>
      </w:r>
    </w:p>
    <w:p>
      <w:pPr>
        <w:spacing w:lineRule="auto" w:line="360" w:before="120" w:after="60"/>
      </w:pPr>
      <w:r>
        <w:rPr>
          <w:rFonts w:ascii="黑体" w:hAnsi="黑体" w:eastAsia="黑体"/>
          <w:b/>
          <w:sz w:val="30"/>
        </w:rPr>
        <w:t>六、下期研究计划</w:t>
      </w:r>
    </w:p>
    <w:p>
      <w:pPr>
        <w:spacing w:lineRule="auto" w:line="360" w:before="40" w:after="0"/>
        <w:ind w:firstLine="480"/>
        <w:jc w:val="both"/>
      </w:pPr>
      <w:r>
        <w:rPr>
          <w:rFonts w:ascii="宋体" w:hAnsi="宋体" w:eastAsia="宋体"/>
          <w:b/>
          <w:sz w:val="24"/>
        </w:rPr>
        <w:t>1. 开展验证性因子分析</w:t>
      </w:r>
      <w:r>
        <w:rPr>
          <w:rFonts w:ascii="宋体" w:hAnsi="宋体" w:eastAsia="宋体"/>
          <w:b w:val="0"/>
          <w:sz w:val="24"/>
        </w:rPr>
        <w:t xml:space="preserve">  以探索性因子分析保留的六项指标为因子结构基础，建立验证性因子分析模型，考察预设两因子结构的拟合优度与指标归属，并重点检验被试级结构稳定性（对应被试级不稳警示）。预期产出：完成验证性因子分析，形成双因子结构拟合结论。</w:t>
      </w:r>
    </w:p>
    <w:p>
      <w:pPr>
        <w:spacing w:lineRule="auto" w:line="360" w:before="40" w:after="0"/>
        <w:ind w:firstLine="480"/>
        <w:jc w:val="both"/>
      </w:pPr>
      <w:r>
        <w:rPr>
          <w:rFonts w:ascii="宋体" w:hAnsi="宋体" w:eastAsia="宋体"/>
          <w:b/>
          <w:sz w:val="24"/>
        </w:rPr>
        <w:t>2. 推进跨数据集的结构稳定性验证</w:t>
      </w:r>
      <w:r>
        <w:rPr>
          <w:rFonts w:ascii="宋体" w:hAnsi="宋体" w:eastAsia="宋体"/>
          <w:b w:val="0"/>
          <w:sz w:val="24"/>
        </w:rPr>
        <w:t xml:space="preserve">  在另一公开眼动数据集上重复全链条分析，考察保留六指标的两因子结构是否在不同数据集间保持稳定。预期产出：完成跨数据集分析，形成结构稳定性结论。</w:t>
      </w:r>
    </w:p>
    <w:p>
      <w:pPr>
        <w:spacing w:lineRule="auto" w:line="360" w:before="40" w:after="0"/>
        <w:ind w:firstLine="480"/>
        <w:jc w:val="both"/>
      </w:pPr>
      <w:r>
        <w:rPr>
          <w:rFonts w:ascii="宋体" w:hAnsi="宋体" w:eastAsia="宋体"/>
          <w:b/>
          <w:sz w:val="24"/>
        </w:rPr>
        <w:t>3. 开展多群组因子不变性检验</w:t>
      </w:r>
      <w:r>
        <w:rPr>
          <w:rFonts w:ascii="宋体" w:hAnsi="宋体" w:eastAsia="宋体"/>
          <w:b w:val="0"/>
          <w:sz w:val="24"/>
        </w:rPr>
        <w:t xml:space="preserve">  按疲劳水平将样本分组，检验因子载荷与因子方差在不同疲劳群组间的恒等性，考察因子结构是否随疲劳程度变化。预期产出：完成不变性检验，形成结构稳定性证据。</w:t>
      </w:r>
    </w:p>
    <w:p>
      <w:pPr>
        <w:spacing w:lineRule="auto" w:line="360" w:before="40" w:after="0"/>
        <w:ind w:firstLine="480"/>
        <w:jc w:val="both"/>
      </w:pPr>
      <w:r>
        <w:rPr>
          <w:rFonts w:ascii="宋体" w:hAnsi="宋体" w:eastAsia="宋体"/>
          <w:b/>
          <w:sz w:val="24"/>
        </w:rPr>
        <w:t>4. 撰写论文方法学与结果章节初稿</w:t>
      </w:r>
      <w:r>
        <w:rPr>
          <w:rFonts w:ascii="宋体" w:hAnsi="宋体" w:eastAsia="宋体"/>
          <w:b w:val="0"/>
          <w:sz w:val="24"/>
        </w:rPr>
        <w:t xml:space="preserve">  按因子分析报告规范组织方法学与结果章节，系统论述数据集、指标定义、事件检测、预注册修剪规则、因子分析与可分离性判定，并完成初稿。预期产出：完成方法学与结果章节初稿。</w:t>
      </w:r>
    </w:p>
    <w:p>
      <w:pPr>
        <w:spacing w:lineRule="auto" w:line="360" w:before="120" w:after="60"/>
      </w:pPr>
      <w:r>
        <w:rPr>
          <w:rFonts w:ascii="黑体" w:hAnsi="黑体" w:eastAsia="黑体"/>
          <w:b/>
          <w:sz w:val="30"/>
        </w:rPr>
        <w:t>七、需协调事项</w:t>
      </w:r>
    </w:p>
    <w:p>
      <w:pPr>
        <w:spacing w:lineRule="auto" w:line="360" w:before="0" w:after="0"/>
        <w:ind w:firstLine="480"/>
        <w:jc w:val="both"/>
      </w:pPr>
      <w:r>
        <w:rPr>
          <w:rFonts w:ascii="宋体" w:hAnsi="宋体" w:eastAsia="宋体"/>
          <w:b w:val="0"/>
          <w:sz w:val="24"/>
        </w:rPr>
        <w:t>下阶段将以探索性因子分析所得的因子结构为基础，重点推进验证性因子分析以完成结构的交叉验证，同步针对眼电代理指标的方向偏离开展校正与复验，并逐步向跨数据集与多群组推广；上述工作均基于公开数据，无需额外实验条件，可直接推进。需协调事项：无。</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