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  <w:jc w:val="center"/>
      </w:pPr>
      <w:r>
        <w:rPr>
          <w:rFonts w:ascii="Times New Roman" w:cs="Times New Roman" w:eastAsia="SimSun" w:hAnsi="Times New Roman"/>
          <w:b/>
          <w:bCs/>
          <w:color w:val="1A1A1A"/>
          <w:sz w:val="32"/>
          <w:szCs w:val="32"/>
        </w:rPr>
        <w:t xml:space="preserve">多重超图上的 SIR：群体闭合方程与含时演化</w:t>
      </w:r>
    </w:p>
    <w:p>
      <w:pPr>
        <w:pStyle w:val="Heading1"/>
        <w:spacing w:after="160" w:before="0"/>
        <w:jc w:val="center"/>
      </w:pPr>
      <w:r>
        <w:rPr>
          <w:rFonts w:ascii="Times New Roman" w:cs="Times New Roman" w:eastAsia="SimSun" w:hAnsi="Times New Roman"/>
          <w:b/>
          <w:bCs/>
          <w:color w:val="1A1A1A"/>
          <w:sz w:val="32"/>
          <w:szCs w:val="32"/>
        </w:rPr>
        <w:t xml:space="preserve">一、模型与群体闭合方程</w:t>
      </w: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1.1 多重超图与记号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节点集为 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Times New Roman" w:cs="Times New Roman" w:eastAsia="SimSun" w:hAnsi="Times New Roman"/>
        </w:rPr>
        <w:t xml:space="preserve">，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=|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|</w:t>
      </w:r>
      <w:r>
        <w:rPr>
          <w:rFonts w:ascii="Times New Roman" w:cs="Times New Roman" w:eastAsia="SimSun" w:hAnsi="Times New Roman"/>
        </w:rPr>
        <w:t xml:space="preserve">。层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=1,…,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Times New Roman" w:cs="Times New Roman" w:eastAsia="SimSun" w:hAnsi="Times New Roman"/>
        </w:rPr>
        <w:t xml:space="preserve">，层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Times New Roman" w:cs="Times New Roman" w:eastAsia="SimSun" w:hAnsi="Times New Roman"/>
        </w:rPr>
        <w:t xml:space="preserve"> 是 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Times New Roman" w:cs="Times New Roman" w:eastAsia="SimSun" w:hAnsi="Times New Roman"/>
        </w:rPr>
        <w:t xml:space="preserve"> 上的超图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=(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，主线取同质基数 </w:t>
      </w:r>
      <w:r>
        <w:rPr>
          <w:rFonts w:ascii="Cambria Math" w:eastAsia="SimSun" w:hAnsi="Cambria Math"/>
          <w:i w:val="false"/>
          <w:iCs w:val="false"/>
        </w:rPr>
        <w:t xml:space="preserve">|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|=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Times New Roman" w:cs="Times New Roman" w:eastAsia="SimSun" w:hAnsi="Times New Roman"/>
        </w:rPr>
        <w:t xml:space="preserve">。节点的层度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)=|</w:t>
      </w:r>
      <w:r>
        <w:rPr>
          <w:rFonts w:ascii="Cambria Math" w:eastAsia="SimSun" w:hAnsi="Cambria Math"/>
          <w:i w:val="false"/>
          <w:iCs w:val="false"/>
        </w:rPr>
        <w:t xml:space="preserve">{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∈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: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∈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}</w:t>
      </w:r>
      <w:r>
        <w:rPr>
          <w:rFonts w:ascii="Cambria Math" w:eastAsia="SimSun" w:hAnsi="Cambria Math"/>
          <w:i w:val="false"/>
          <w:iCs w:val="false"/>
        </w:rPr>
        <w:t xml:space="preserve">|</w:t>
      </w:r>
      <w:r>
        <w:rPr>
          <w:rFonts w:ascii="Times New Roman" w:cs="Times New Roman" w:eastAsia="SimSun" w:hAnsi="Times New Roman"/>
        </w:rPr>
        <w:t xml:space="preserve">，写成向量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。引入两个生成函数：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Ψ(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P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)∏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k_c</w:t>
      </w:r>
      <w:r>
        <w:rPr>
          <w:rFonts w:ascii="Cambria Math" w:eastAsia="SimSun" w:hAnsi="Cambria Math"/>
          <w:sz w:val="21"/>
          <w:szCs w:val="21"/>
        </w:rPr>
        <w:t xml:space="preserve">	(1)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ψ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)=(1)/(⟨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⟩)Σ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P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)∏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 k_c-δ_ac</w:t>
      </w:r>
      <w:r>
        <w:rPr>
          <w:rFonts w:ascii="Cambria Math" w:eastAsia="SimSun" w:hAnsi="Cambria Math"/>
          <w:sz w:val="21"/>
          <w:szCs w:val="21"/>
        </w:rPr>
        <w:t xml:space="preserve">	(2)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Ψ</w:t>
      </w:r>
      <w:r>
        <w:rPr>
          <w:rFonts w:ascii="Times New Roman" w:cs="Times New Roman" w:eastAsia="SimSun" w:hAnsi="Times New Roman"/>
        </w:rPr>
        <w:t xml:space="preserve"> 描述节点侧，</w:t>
      </w:r>
      <w:r>
        <w:rPr>
          <w:rFonts w:ascii="Cambria Math" w:eastAsia="SimSun" w:hAnsi="Cambria Math"/>
          <w:i w:val="false"/>
          <w:iCs w:val="false"/>
        </w:rPr>
        <w:t xml:space="preserve">ψ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Times New Roman" w:cs="Times New Roman" w:eastAsia="SimSun" w:hAnsi="Times New Roman"/>
        </w:rPr>
        <w:t xml:space="preserve"> 描述沿层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Times New Roman" w:cs="Times New Roman" w:eastAsia="SimSun" w:hAnsi="Times New Roman"/>
        </w:rPr>
        <w:t xml:space="preserve"> 的一个成员槽到达某节点时该节点的余度分布，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指数中的 </w:t>
      </w:r>
      <w:r>
        <w:rPr>
          <w:rFonts w:ascii="Cambria Math" w:eastAsia="SimSun" w:hAnsi="Cambria Math"/>
          <w:i w:val="false"/>
          <w:iCs w:val="false"/>
        </w:rPr>
        <w:t xml:space="preserve">-δ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ac</w:t>
      </w:r>
      <w:r>
        <w:rPr>
          <w:rFonts w:ascii="Times New Roman" w:cs="Times New Roman" w:eastAsia="SimSun" w:hAnsi="Times New Roman"/>
        </w:rPr>
        <w:t xml:space="preserve"> 即余度相减：来路那个群体不再计入。联合层度分布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是本模型的结构输入，层间的一切效应最终只经由 </w:t>
      </w:r>
      <w:r>
        <w:rPr>
          <w:rFonts w:ascii="Cambria Math" w:eastAsia="SimSun" w:hAnsi="Cambria Math"/>
          <w:i w:val="false"/>
          <w:iCs w:val="false"/>
        </w:rPr>
        <w:t xml:space="preserve">Ψ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 w:val="false"/>
          <w:iCs w:val="false"/>
        </w:rPr>
        <w:t xml:space="preserve">ψ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Times New Roman" w:cs="Times New Roman" w:eastAsia="SimSun" w:hAnsi="Times New Roman"/>
        </w:rPr>
        <w:t xml:space="preserve"> 的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交叉项进入动力学。</w:t>
      </w: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1.2 SIR 动力学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节点状态 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∈</w:t>
      </w:r>
      <w:r>
        <w:rPr>
          <w:rFonts w:ascii="Cambria Math" w:eastAsia="SimSun" w:hAnsi="Cambria Math"/>
          <w:i w:val="false"/>
          <w:iCs w:val="false"/>
        </w:rPr>
        <w:t xml:space="preserve">{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}</w:t>
      </w:r>
      <w:r>
        <w:rPr>
          <w:rFonts w:ascii="Times New Roman" w:cs="Times New Roman" w:eastAsia="SimSun" w:hAnsi="Times New Roman"/>
        </w:rPr>
        <w:t xml:space="preserve"> 跨层共享——个体在任一渠道被感染即在所有渠道中均为感染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态。记层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Times New Roman" w:cs="Times New Roman" w:eastAsia="SimSun" w:hAnsi="Times New Roman"/>
        </w:rPr>
        <w:t xml:space="preserve"> 的群体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中已感染成员数为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)=|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∩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)|</w:t>
      </w:r>
      <w:r>
        <w:rPr>
          <w:rFonts w:ascii="Times New Roman" w:cs="Times New Roman" w:eastAsia="SimSun" w:hAnsi="Times New Roman"/>
        </w:rPr>
        <w:t xml:space="preserve">。当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≥θ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时群体激活，向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中每个易感成员各以速率 </w:t>
      </w:r>
      <w:r>
        <w:rPr>
          <w:rFonts w:ascii="Cambria Math" w:eastAsia="SimSun" w:hAnsi="Cambria Math"/>
          <w:i w:val="false"/>
          <w:iCs w:val="false"/>
        </w:rPr>
        <w:t xml:space="preserve">β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Times New Roman" w:cs="Times New Roman" w:eastAsia="SimSun" w:hAnsi="Times New Roman"/>
        </w:rPr>
        <w:t xml:space="preserve"> 独立传递，否则静默；感染者以速率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μ</w:t>
      </w:r>
      <w:r>
        <w:rPr>
          <w:rFonts w:ascii="Times New Roman" w:cs="Times New Roman" w:eastAsia="SimSun" w:hAnsi="Times New Roman"/>
        </w:rPr>
        <w:t xml:space="preserve"> 康复。易感节点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 的总风险率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Λ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u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e∈E_a: u∈e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β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1[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)≥θ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]</w:t>
      </w:r>
      <w:r>
        <w:rPr>
          <w:rFonts w:ascii="Cambria Math" w:eastAsia="SimSun" w:hAnsi="Cambria Math"/>
          <w:sz w:val="21"/>
          <w:szCs w:val="21"/>
        </w:rPr>
        <w:t xml:space="preserve">	(3)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以 </w:t>
      </w:r>
      <w:r>
        <w:rPr>
          <w:rFonts w:ascii="Cambria Math" w:eastAsia="SimSun" w:hAnsi="Cambria Math"/>
          <w:i w:val="false"/>
          <w:iCs w:val="false"/>
        </w:rPr>
        <w:t xml:space="preserve">μ</w:t>
      </w:r>
      <w:r>
        <w:rPr>
          <w:rFonts w:ascii="Times New Roman" w:cs="Times New Roman" w:eastAsia="SimSun" w:hAnsi="Times New Roman"/>
        </w:rPr>
        <w:t xml:space="preserve"> 归一时间，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=β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/μ</w:t>
      </w:r>
      <w:r>
        <w:rPr>
          <w:rFonts w:ascii="Times New Roman" w:cs="Times New Roman" w:eastAsia="SimSun" w:hAnsi="Times New Roman"/>
        </w:rPr>
        <w:t xml:space="preserve">，主线取 </w:t>
      </w:r>
      <w:r>
        <w:rPr>
          <w:rFonts w:ascii="Cambria Math" w:eastAsia="SimSun" w:hAnsi="Cambria Math"/>
          <w:i w:val="false"/>
          <w:iCs w:val="false"/>
        </w:rPr>
        <w:t xml:space="preserve">θ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=1</w:t>
      </w:r>
      <w:r>
        <w:rPr>
          <w:rFonts w:ascii="Times New Roman" w:cs="Times New Roman" w:eastAsia="SimSun" w:hAnsi="Times New Roman"/>
        </w:rPr>
        <w:t xml:space="preserve">。初始时刻每个节点独立地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以概率 </w:t>
      </w:r>
      <w:r>
        <w:rPr>
          <w:rFonts w:ascii="Cambria Math" w:eastAsia="SimSun" w:hAnsi="Cambria Math"/>
          <w:i w:val="false"/>
          <w:iCs w:val="false"/>
        </w:rPr>
        <w:t xml:space="preserve">ε</w:t>
      </w:r>
      <w:r>
        <w:rPr>
          <w:rFonts w:ascii="Times New Roman" w:cs="Times New Roman" w:eastAsia="SimSun" w:hAnsi="Times New Roman"/>
        </w:rPr>
        <w:t xml:space="preserve"> 处于感染态、其余易感，</w:t>
      </w:r>
      <w:r>
        <w:rPr>
          <w:rFonts w:ascii="Cambria Math" w:eastAsia="SimSun" w:hAnsi="Cambria Math"/>
          <w:i w:val="false"/>
          <w:iCs w:val="false"/>
        </w:rPr>
        <w:t xml:space="preserve">ε</w:t>
      </w:r>
      <w:r>
        <w:rPr>
          <w:rFonts w:ascii="Times New Roman" w:cs="Times New Roman" w:eastAsia="SimSun" w:hAnsi="Times New Roman"/>
        </w:rPr>
        <w:t xml:space="preserve"> 即均匀初始感染比例。与有向超图不同，无向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群体中每个成员既是传染源也是传染靶：一个成员被感染后群体激活，可感染同群其他成员，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后者被感染又延长群体的激活时长，形成群内级联。本模型的新内容均源于此。</w:t>
      </w: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1.3 空腔构造与群体计数方程组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固定一个检验节点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，令其永久易感（空腔节点）。取一个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 所属的层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Times New Roman" w:cs="Times New Roman" w:eastAsia="SimSun" w:hAnsi="Times New Roman"/>
        </w:rPr>
        <w:t xml:space="preserve"> 群体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定义边基变量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Φ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Pr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[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到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时刻尚未向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u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传递]</w:t>
      </w:r>
      <w:r>
        <w:rPr>
          <w:rFonts w:ascii="Cambria Math" w:eastAsia="SimSun" w:hAnsi="Cambria Math"/>
          <w:sz w:val="21"/>
          <w:szCs w:val="21"/>
        </w:rPr>
        <w:t xml:space="preserve">	(4)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在局域树状假设下（位形模型系综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→∞</w:t>
      </w:r>
      <w:r>
        <w:rPr>
          <w:rFonts w:ascii="Times New Roman" w:cs="Times New Roman" w:eastAsia="SimSun" w:hAnsi="Times New Roman"/>
        </w:rPr>
        <w:t xml:space="preserve"> 时局域收敛于超树，回路概率 </w:t>
      </w:r>
      <w:r>
        <w:rPr>
          <w:rFonts w:ascii="Cambria Math" w:eastAsia="SimSun" w:hAnsi="Cambria Math"/>
          <w:i/>
          <w:iCs/>
        </w:rPr>
        <w:t xml:space="preserve">O</w:t>
      </w:r>
      <w:r>
        <w:rPr>
          <w:rFonts w:ascii="Cambria Math" w:eastAsia="SimSun" w:hAnsi="Cambria Math"/>
          <w:i w:val="false"/>
          <w:iCs w:val="false"/>
        </w:rPr>
        <w:t xml:space="preserve">(1/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），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 所属各群体的上游分支互不相交，节点侧因而闭合为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)=(1-ε) Ψ(Φ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1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),…,Φ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))</w:t>
      </w:r>
      <w:r>
        <w:rPr>
          <w:rFonts w:ascii="Cambria Math" w:eastAsia="SimSun" w:hAnsi="Cambria Math"/>
          <w:sz w:val="21"/>
          <w:szCs w:val="21"/>
        </w:rPr>
        <w:t xml:space="preserve">	(5)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以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除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 外的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-1</w:t>
      </w:r>
      <w:r>
        <w:rPr>
          <w:rFonts w:ascii="Times New Roman" w:cs="Times New Roman" w:eastAsia="SimSun" w:hAnsi="Times New Roman"/>
        </w:rPr>
        <w:t xml:space="preserve"> 个成员的计数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（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+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+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-1</w:t>
      </w:r>
      <w:r>
        <w:rPr>
          <w:rFonts w:ascii="Times New Roman" w:cs="Times New Roman" w:eastAsia="SimSun" w:hAnsi="Times New Roman"/>
        </w:rPr>
        <w:t xml:space="preserve">）为仓室，定义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未传递子概率 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sir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，则 </w:t>
      </w:r>
      <w:r>
        <w:rPr>
          <w:rFonts w:ascii="Cambria Math" w:eastAsia="SimSun" w:hAnsi="Cambria Math"/>
          <w:i w:val="false"/>
          <w:iCs w:val="false"/>
        </w:rPr>
        <w:t xml:space="preserve">Φ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=Σ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sir</w:t>
      </w:r>
      <w:r>
        <w:rPr>
          <w:rFonts w:ascii="Times New Roman" w:cs="Times New Roman" w:eastAsia="SimSun" w:hAnsi="Times New Roman"/>
        </w:rPr>
        <w:t xml:space="preserve">，激活且未传递的部分为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Φ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i≥θ_a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sir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sz w:val="21"/>
          <w:szCs w:val="21"/>
        </w:rPr>
        <w:t xml:space="preserve">	(6)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一个成员经由其他群体到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 仍易感的概率为 </w:t>
      </w:r>
      <w:r>
        <w:rPr>
          <w:rFonts w:ascii="Cambria Math" w:eastAsia="SimSun" w:hAnsi="Cambria Math"/>
          <w:i w:val="false"/>
          <w:iCs w:val="false"/>
        </w:rPr>
        <w:t xml:space="preserve">(1-ε)ψ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(Φ)</w:t>
      </w:r>
      <w:r>
        <w:rPr>
          <w:rFonts w:ascii="Times New Roman" w:cs="Times New Roman" w:eastAsia="SimSun" w:hAnsi="Times New Roman"/>
        </w:rPr>
        <w:t xml:space="preserve">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故其外部风险率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)=-(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d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)/(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dt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ln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[(1-ε)ψ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(Φ)] =Σ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β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Φ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(∂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ψ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(Φ))/(ψ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(Φ))</w:t>
      </w:r>
      <w:r>
        <w:rPr>
          <w:rFonts w:ascii="Cambria Math" w:eastAsia="SimSun" w:hAnsi="Cambria Math"/>
          <w:sz w:val="21"/>
          <w:szCs w:val="21"/>
        </w:rPr>
        <w:t xml:space="preserve">	(7)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一个易感成员的总感染率是外部与群内之和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+β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1[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≥θ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Times New Roman" w:cs="Times New Roman" w:eastAsia="SimSun" w:hAnsi="Times New Roman"/>
        </w:rPr>
        <w:t xml:space="preserve">；群体向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 的传递以速率 </w:t>
      </w:r>
      <w:r>
        <w:rPr>
          <w:rFonts w:ascii="Cambria Math" w:eastAsia="SimSun" w:hAnsi="Cambria Math"/>
          <w:i w:val="false"/>
          <w:iCs w:val="false"/>
        </w:rPr>
        <w:t xml:space="preserve">β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1[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≥θ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Times New Roman" w:cs="Times New Roman" w:eastAsia="SimSun" w:hAnsi="Times New Roman"/>
        </w:rPr>
        <w:t xml:space="preserve"> 把概率移出「未传递」类。据此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begin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aligned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̇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sir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 &amp;(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+β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1[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-1≥θ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])(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+1)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s+1,i-1,r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-(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+β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1[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≥θ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])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sir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  &amp;+μ[(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+1)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s,i+1,r-1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sir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] -β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1[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≥θ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]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sir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end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aligned</w:t>
      </w:r>
      <w:r>
        <w:rPr>
          <w:rFonts w:ascii="Cambria Math" w:eastAsia="SimSun" w:hAnsi="Cambria Math"/>
          <w:sz w:val="21"/>
          <w:szCs w:val="21"/>
        </w:rPr>
        <w:t xml:space="preserve">	(8)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（越界下标记为零。）对 (8) 求和，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Times New Roman" w:cs="Times New Roman" w:eastAsia="SimSun" w:hAnsi="Times New Roman"/>
        </w:rPr>
        <w:t xml:space="preserve"> 项、群内项与 </w:t>
      </w:r>
      <w:r>
        <w:rPr>
          <w:rFonts w:ascii="Cambria Math" w:eastAsia="SimSun" w:hAnsi="Cambria Math"/>
          <w:i w:val="false"/>
          <w:iCs w:val="false"/>
        </w:rPr>
        <w:t xml:space="preserve">μ</w:t>
      </w:r>
      <w:r>
        <w:rPr>
          <w:rFonts w:ascii="Times New Roman" w:cs="Times New Roman" w:eastAsia="SimSun" w:hAnsi="Times New Roman"/>
        </w:rPr>
        <w:t xml:space="preserve"> 项各自守恒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相消，只余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Φ̇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=-β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Φ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sz w:val="21"/>
          <w:szCs w:val="21"/>
        </w:rPr>
        <w:t xml:space="preserve">	(9)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与 (7) 自洽。节点侧由 (5) 与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̇=μ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=1-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-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闭合。初始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条件 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s,i,0</w:t>
      </w:r>
      <w:r>
        <w:rPr>
          <w:rFonts w:ascii="Cambria Math" w:eastAsia="SimSun" w:hAnsi="Cambria Math"/>
          <w:i w:val="false"/>
          <w:iCs w:val="false"/>
        </w:rPr>
        <w:t xml:space="preserve">(0)=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-1, 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)(1-ε)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ε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i</w:t>
      </w:r>
      <w:r>
        <w:rPr>
          <w:rFonts w:ascii="Times New Roman" w:cs="Times New Roman" w:eastAsia="SimSun" w:hAnsi="Times New Roman"/>
        </w:rPr>
        <w:t xml:space="preserve">，其余为零，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Φ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(0)=1</w:t>
      </w:r>
      <w:r>
        <w:rPr>
          <w:rFonts w:ascii="Times New Roman" w:cs="Times New Roman" w:eastAsia="SimSun" w:hAnsi="Times New Roman"/>
        </w:rPr>
        <w:t xml:space="preserve">。方程组共 </w:t>
      </w:r>
      <w:r>
        <w:rPr>
          <w:rFonts w:ascii="Cambria Math" w:eastAsia="SimSun" w:hAnsi="Cambria Math"/>
          <w:i w:val="false"/>
          <w:iCs w:val="false"/>
        </w:rPr>
        <w:t xml:space="preserve">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+1, 2)+1</w:t>
      </w:r>
      <w:r>
        <w:rPr>
          <w:rFonts w:ascii="Times New Roman" w:cs="Times New Roman" w:eastAsia="SimSun" w:hAnsi="Times New Roman"/>
        </w:rPr>
        <w:t xml:space="preserve"> 维（各层的群体计数加上节点侧的单个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独立标量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，其中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Times New Roman" w:cs="Times New Roman" w:eastAsia="SimSun" w:hAnsi="Times New Roman"/>
        </w:rPr>
        <w:t xml:space="preserve"> 由 (5) 决定、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=1-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-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导出），与系统规模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Times New Roman" w:cs="Times New Roman" w:eastAsia="SimSun" w:hAnsi="Times New Roman"/>
        </w:rPr>
        <w:t xml:space="preserve"> 无关；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=2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=(3,4)</w:t>
      </w:r>
      <w:r>
        <w:rPr>
          <w:rFonts w:ascii="Times New Roman" w:cs="Times New Roman" w:eastAsia="SimSun" w:hAnsi="Times New Roman"/>
        </w:rPr>
        <w:t xml:space="preserve"> 时为 </w:t>
      </w:r>
      <w:r>
        <w:rPr>
          <w:rFonts w:ascii="Cambria Math" w:eastAsia="SimSun" w:hAnsi="Cambria Math"/>
          <w:i w:val="false"/>
          <w:iCs w:val="false"/>
        </w:rPr>
        <w:t xml:space="preserve">16+1=17</w:t>
      </w:r>
      <w:r>
        <w:rPr>
          <w:rFonts w:ascii="Times New Roman" w:cs="Times New Roman" w:eastAsia="SimSun" w:hAnsi="Times New Roman"/>
        </w:rPr>
        <w:t xml:space="preserve"> 个方程，积分一次即给出完整的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与终态规模。</w:t>
      </w: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1.4 爆发阈值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以「感染经由哪一层传来」为型，经由层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Times New Roman" w:cs="Times New Roman" w:eastAsia="SimSun" w:hAnsi="Times New Roman"/>
        </w:rPr>
        <w:t xml:space="preserve"> 感染的节点其层 </w:t>
      </w:r>
      <w:r>
        <w:rPr>
          <w:rFonts w:ascii="Cambria Math" w:eastAsia="SimSun" w:hAnsi="Cambria Math"/>
          <w:i/>
          <w:iCs/>
        </w:rPr>
        <w:t xml:space="preserve">b</w:t>
      </w:r>
      <w:r>
        <w:rPr>
          <w:rFonts w:ascii="Times New Roman" w:cs="Times New Roman" w:eastAsia="SimSun" w:hAnsi="Times New Roman"/>
        </w:rPr>
        <w:t xml:space="preserve"> 群体数的期望为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(a)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(b)</w:t>
      </w:r>
      <w:r>
        <w:rPr>
          <w:rFonts w:ascii="Cambria Math" w:eastAsia="SimSun" w:hAnsi="Cambria Math"/>
          <w:i w:val="false"/>
          <w:iCs w:val="false"/>
        </w:rPr>
        <w:t xml:space="preserve">⟩/⟨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</w:rPr>
        <w:t xml:space="preserve">⟩-δ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，每个被点燃的群体产出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b</w:t>
      </w:r>
      <w:r>
        <w:rPr>
          <w:rFonts w:ascii="Cambria Math" w:eastAsia="SimSun" w:hAnsi="Cambria Math"/>
          <w:i w:val="false"/>
          <w:iCs w:val="false"/>
        </w:rPr>
        <w:t xml:space="preserve">,λ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b</w:t>
      </w:r>
      <w:r>
        <w:rPr>
          <w:rFonts w:ascii="Cambria Math" w:eastAsia="SimSun" w:hAnsi="Cambria Math"/>
          <w:i w:val="false"/>
          <w:iCs w:val="false"/>
        </w:rPr>
        <w:t xml:space="preserve">,θ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b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个新感染成员（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Times New Roman" w:cs="Times New Roman" w:eastAsia="SimSun" w:hAnsi="Times New Roman"/>
        </w:rPr>
        <w:t xml:space="preserve"> 为孤立群体内的群内级联期望，由一个小型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连续时间 Markov 链的递推给出，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=2</w:t>
      </w:r>
      <w:r>
        <w:rPr>
          <w:rFonts w:ascii="Times New Roman" w:cs="Times New Roman" w:eastAsia="SimSun" w:hAnsi="Times New Roman"/>
        </w:rPr>
        <w:t xml:space="preserve"> 时退化为成对传递概率）。故多型分支矩阵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,λ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,θ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)[(⟨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(b)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⟩)/(⟨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⟩)-δ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]</w:t>
      </w:r>
      <w:r>
        <w:rPr>
          <w:rFonts w:ascii="Cambria Math" w:eastAsia="SimSun" w:hAnsi="Cambria Math"/>
          <w:sz w:val="21"/>
          <w:szCs w:val="21"/>
        </w:rPr>
        <w:t xml:space="preserve">	(10)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爆发阈值由谱半径条件 </w:t>
      </w:r>
      <w:r>
        <w:rPr>
          <w:rFonts w:ascii="Cambria Math" w:eastAsia="SimSun" w:hAnsi="Cambria Math"/>
          <w:i w:val="false"/>
          <w:iCs w:val="false"/>
        </w:rPr>
        <w:t xml:space="preserve">ρ(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)=1</w:t>
      </w:r>
      <w:r>
        <w:rPr>
          <w:rFonts w:ascii="Times New Roman" w:cs="Times New Roman" w:eastAsia="SimSun" w:hAnsi="Times New Roman"/>
        </w:rPr>
        <w:t xml:space="preserve"> 确定。图 1 的控制参数 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Times New Roman" w:cs="Times New Roman" w:eastAsia="SimSun" w:hAnsi="Times New Roman"/>
        </w:rPr>
        <w:t xml:space="preserve"> 即以此阈值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 定标。</w:t>
      </w:r>
    </w:p>
    <w:p>
      <w:pPr>
        <w:pStyle w:val="Heading1"/>
        <w:spacing w:after="160" w:before="0"/>
        <w:jc w:val="center"/>
      </w:pPr>
      <w:r>
        <w:rPr>
          <w:rFonts w:ascii="Times New Roman" w:cs="Times New Roman" w:eastAsia="SimSun" w:hAnsi="Times New Roman"/>
          <w:b/>
          <w:bCs/>
          <w:color w:val="1A1A1A"/>
          <w:sz w:val="32"/>
          <w:szCs w:val="32"/>
        </w:rPr>
        <w:t xml:space="preserve">二、含时演化：闭合、均场与精确仿真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作为对照，同一模型的度均场取群体激活概率为系综平均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Θ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=1-(1-φ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m_a-1</w:t>
      </w:r>
      <w:r>
        <w:rPr>
          <w:rFonts w:ascii="Times New Roman" w:cs="Times New Roman" w:eastAsia="SimSun" w:hAnsi="Times New Roman"/>
        </w:rPr>
        <w:t xml:space="preserve">，其中 </w:t>
      </w:r>
      <w:r>
        <w:rPr>
          <w:rFonts w:ascii="Cambria Math" w:eastAsia="SimSun" w:hAnsi="Cambria Math"/>
          <w:i w:val="false"/>
          <w:iCs w:val="false"/>
        </w:rPr>
        <w:t xml:space="preserve">φ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Times New Roman" w:cs="Times New Roman" w:eastAsia="SimSun" w:hAnsi="Times New Roman"/>
        </w:rPr>
        <w:t xml:space="preserve"> 为层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Times New Roman" w:cs="Times New Roman" w:eastAsia="SimSun" w:hAnsi="Times New Roman"/>
        </w:rPr>
        <w:t xml:space="preserve"> 成员槽被感染节点占据的比例，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̇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=-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β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Θ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̇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β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Θ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-μ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</w:t>
      </w:r>
      <w:r>
        <w:rPr>
          <w:rFonts w:ascii="Cambria Math" w:eastAsia="SimSun" w:hAnsi="Cambria Math"/>
          <w:sz w:val="21"/>
          <w:szCs w:val="21"/>
        </w:rPr>
        <w:t xml:space="preserve">	(11)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均场丢弃了群内相关、邻域相关与群内级联，是评价群体闭合的基线。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图 1 给出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=2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=(3,4)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=6000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λ=1.6λ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 下的完整时间演化，联合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层度分布 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在 </w:t>
      </w:r>
      <w:r>
        <w:rPr>
          <w:rFonts w:ascii="Cambria Math" w:eastAsia="SimSun" w:hAnsi="Cambria Math"/>
          <w:i w:val="false"/>
          <w:iCs w:val="false"/>
        </w:rPr>
        <w:t xml:space="preserve">(2,2)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 w:val="false"/>
          <w:iCs w:val="false"/>
        </w:rPr>
        <w:t xml:space="preserve">(3,3)</w:t>
      </w:r>
      <w:r>
        <w:rPr>
          <w:rFonts w:ascii="Times New Roman" w:cs="Times New Roman" w:eastAsia="SimSun" w:hAnsi="Times New Roman"/>
        </w:rPr>
        <w:t xml:space="preserve"> 上各占一半，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=0.0993</w:t>
      </w:r>
      <w:r>
        <w:rPr>
          <w:rFonts w:ascii="Times New Roman" w:cs="Times New Roman" w:eastAsia="SimSun" w:hAnsi="Times New Roman"/>
        </w:rPr>
        <w:t xml:space="preserve">，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ε=0.02</w:t>
      </w:r>
      <w:r>
        <w:rPr>
          <w:rFonts w:ascii="Times New Roman" w:cs="Times New Roman" w:eastAsia="SimSun" w:hAnsi="Times New Roman"/>
        </w:rPr>
        <w:t xml:space="preserve">。群体闭合 (8) 与精确仿真在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上的最大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偏差分别为 </w:t>
      </w:r>
      <w:r>
        <w:rPr>
          <w:rFonts w:ascii="Cambria Math" w:eastAsia="SimSun" w:hAnsi="Cambria Math"/>
          <w:i w:val="false"/>
          <w:iCs w:val="false"/>
        </w:rPr>
        <w:t xml:space="preserve">0.0039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 w:val="false"/>
          <w:iCs w:val="false"/>
        </w:rPr>
        <w:t xml:space="preserve">0.0011</w:t>
      </w:r>
      <w:r>
        <w:rPr>
          <w:rFonts w:ascii="Times New Roman" w:cs="Times New Roman" w:eastAsia="SimSun" w:hAnsi="Times New Roman"/>
        </w:rPr>
        <w:t xml:space="preserve">，均小于图中线宽；感染峰高相差 </w:t>
      </w:r>
      <w:r>
        <w:rPr>
          <w:rFonts w:ascii="Cambria Math" w:eastAsia="SimSun" w:hAnsi="Cambria Math"/>
          <w:i w:val="false"/>
          <w:iCs w:val="false"/>
        </w:rPr>
        <w:t xml:space="preserve">0.9%</w:t>
      </w:r>
      <w:r>
        <w:rPr>
          <w:rFonts w:ascii="Times New Roman" w:cs="Times New Roman" w:eastAsia="SimSun" w:hAnsi="Times New Roman"/>
        </w:rPr>
        <w:t xml:space="preserve">。度均场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(11) 则把感染峰值由仿真的 </w:t>
      </w:r>
      <w:r>
        <w:rPr>
          <w:rFonts w:ascii="Cambria Math" w:eastAsia="SimSun" w:hAnsi="Cambria Math"/>
          <w:i w:val="false"/>
          <w:iCs w:val="false"/>
        </w:rPr>
        <w:t xml:space="preserve">0.086</w:t>
      </w:r>
      <w:r>
        <w:rPr>
          <w:rFonts w:ascii="Times New Roman" w:cs="Times New Roman" w:eastAsia="SimSun" w:hAnsi="Times New Roman"/>
        </w:rPr>
        <w:t xml:space="preserve"> 抬到 </w:t>
      </w:r>
      <w:r>
        <w:rPr>
          <w:rFonts w:ascii="Cambria Math" w:eastAsia="SimSun" w:hAnsi="Cambria Math"/>
          <w:i w:val="false"/>
          <w:iCs w:val="false"/>
        </w:rPr>
        <w:t xml:space="preserve">0.139</w:t>
      </w:r>
      <w:r>
        <w:rPr>
          <w:rFonts w:ascii="Times New Roman" w:cs="Times New Roman" w:eastAsia="SimSun" w:hAnsi="Times New Roman"/>
        </w:rPr>
        <w:t xml:space="preserve">（</w:t>
      </w:r>
      <w:r>
        <w:rPr>
          <w:rFonts w:ascii="Cambria Math" w:eastAsia="SimSun" w:hAnsi="Cambria Math"/>
          <w:i w:val="false"/>
          <w:iCs w:val="false"/>
        </w:rPr>
        <w:t xml:space="preserve">1.6</w:t>
      </w:r>
      <w:r>
        <w:rPr>
          <w:rFonts w:ascii="Times New Roman" w:cs="Times New Roman" w:eastAsia="SimSun" w:hAnsi="Times New Roman"/>
        </w:rPr>
        <w:t xml:space="preserve"> 倍），并把峰位由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≈4.4</w:t>
      </w:r>
      <w:r>
        <w:rPr>
          <w:rFonts w:ascii="Times New Roman" w:cs="Times New Roman" w:eastAsia="SimSun" w:hAnsi="Times New Roman"/>
        </w:rPr>
        <w:t xml:space="preserve"> 提前到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≈3.6</w:t>
      </w:r>
      <w:r>
        <w:rPr>
          <w:rFonts w:ascii="Times New Roman" w:cs="Times New Roman" w:eastAsia="SimSun" w:hAnsi="Times New Roman"/>
        </w:rPr>
        <w:t xml:space="preserve">。群体闭合复现了完整的含时演化，度均场在同一参数下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显著失真。</w:t>
      </w:r>
    </w:p>
    <w:p>
      <w:pPr>
        <w:spacing w:after="60" w:before="200" w:line="240" w:lineRule="auto"/>
        <w:jc w:val="center"/>
      </w:pPr>
      <w:r>
        <w:drawing>
          <wp:inline distT="0" distB="0" distL="0" distR="0">
            <wp:extent cx="5669280" cy="246143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46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left"/>
      </w:pPr>
      <w:r>
        <w:rPr>
          <w:rFonts w:ascii="Times New Roman" w:cs="Times New Roman" w:eastAsia="SimSun" w:hAnsi="Times New Roman"/>
          <w:sz w:val="19"/>
          <w:szCs w:val="19"/>
        </w:rPr>
        <w:t xml:space="preserve">图 1　多重超图 SIR 的含时演化，</w:t>
      </w:r>
      <w:r>
        <w:rPr>
          <w:rFonts w:ascii="Cambria Math" w:eastAsia="SimSun" w:hAnsi="Cambria Math"/>
          <w:i/>
          <w:iCs/>
          <w:sz w:val="19"/>
          <w:szCs w:val="19"/>
        </w:rPr>
        <w:t xml:space="preserve">N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=6000</w:t>
      </w:r>
      <w:r>
        <w:rPr>
          <w:rFonts w:ascii="Times New Roman" w:cs="Times New Roman" w:eastAsia="SimSun" w:hAnsi="Times New Roman"/>
          <w:sz w:val="19"/>
          <w:szCs w:val="19"/>
        </w:rPr>
        <w:t xml:space="preserve">、</w:t>
      </w:r>
      <w:r>
        <w:rPr>
          <w:rFonts w:ascii="Cambria Math" w:eastAsia="SimSun" w:hAnsi="Cambria Math"/>
          <w:i/>
          <w:iCs/>
          <w:sz w:val="19"/>
          <w:szCs w:val="19"/>
        </w:rPr>
        <w:t xml:space="preserve">M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=2</w:t>
      </w:r>
      <w:r>
        <w:rPr>
          <w:rFonts w:ascii="Times New Roman" w:cs="Times New Roman" w:eastAsia="SimSun" w:hAnsi="Times New Roman"/>
          <w:sz w:val="19"/>
          <w:szCs w:val="19"/>
        </w:rPr>
        <w:t xml:space="preserve">、</w:t>
      </w:r>
      <w:r>
        <w:rPr>
          <w:rFonts w:ascii="Cambria Math" w:eastAsia="SimSun" w:hAnsi="Cambria Math"/>
          <w:i/>
          <w:iCs/>
          <w:sz w:val="19"/>
          <w:szCs w:val="19"/>
        </w:rPr>
        <w:t xml:space="preserve">m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=(3,4)</w:t>
      </w:r>
      <w:r>
        <w:rPr>
          <w:rFonts w:ascii="Times New Roman" w:cs="Times New Roman" w:eastAsia="SimSun" w:hAnsi="Times New Roman"/>
          <w:sz w:val="19"/>
          <w:szCs w:val="19"/>
        </w:rPr>
        <w:t xml:space="preserve">、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λ=1.6λ</w:t>
      </w:r>
      <w:r>
        <w:rPr>
          <w:rFonts w:ascii="Cambria Math" w:eastAsia="SimSun" w:hAnsi="Cambria Math"/>
          <w:i w:val="false"/>
          <w:iCs w:val="false"/>
          <w:sz w:val="19"/>
          <w:szCs w:val="19"/>
          <w:vertAlign w:val="subscript"/>
        </w:rPr>
        <w:t xml:space="preserve">c</w:t>
      </w:r>
      <w:r>
        <w:rPr>
          <w:rFonts w:ascii="Times New Roman" w:cs="Times New Roman" w:eastAsia="SimSun" w:hAnsi="Times New Roman"/>
          <w:sz w:val="19"/>
          <w:szCs w:val="19"/>
        </w:rPr>
        <w:t xml:space="preserve">、初始感染比例 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ε=0.02</w:t>
      </w:r>
      <w:r>
        <w:rPr>
          <w:rFonts w:ascii="Times New Roman" w:cs="Times New Roman" w:eastAsia="SimSun" w:hAnsi="Times New Roman"/>
          <w:sz w:val="19"/>
          <w:szCs w:val="19"/>
        </w:rPr>
        <w:t xml:space="preserve">。黑线为 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400</w:t>
      </w:r>
      <w:r>
        <w:rPr>
          <w:rFonts w:ascii="Times New Roman" w:cs="Times New Roman" w:eastAsia="SimSun" w:hAnsi="Times New Roman"/>
          <w:sz w:val="19"/>
          <w:szCs w:val="19"/>
        </w:rPr>
        <w:t xml:space="preserve"> 次独立 Gillespie 实现的均值，灰带为 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95%</w:t>
      </w:r>
      <w:r>
        <w:rPr>
          <w:rFonts w:ascii="Times New Roman" w:cs="Times New Roman" w:eastAsia="SimSun" w:hAnsi="Times New Roman"/>
          <w:sz w:val="19"/>
          <w:szCs w:val="19"/>
        </w:rPr>
        <w:t xml:space="preserve"> 置信区间，最宽处约与线宽相当；蓝虚线为群体闭合 (8)，橙点线为度均场 (11)。(a) 易感比例 </w:t>
      </w:r>
      <w:r>
        <w:rPr>
          <w:rFonts w:ascii="Cambria Math" w:eastAsia="SimSun" w:hAnsi="Cambria Math"/>
          <w:i/>
          <w:iCs/>
          <w:sz w:val="19"/>
          <w:szCs w:val="19"/>
        </w:rPr>
        <w:t xml:space="preserve">S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(</w:t>
      </w:r>
      <w:r>
        <w:rPr>
          <w:rFonts w:ascii="Cambria Math" w:eastAsia="SimSun" w:hAnsi="Cambria Math"/>
          <w:i/>
          <w:iCs/>
          <w:sz w:val="19"/>
          <w:szCs w:val="19"/>
        </w:rPr>
        <w:t xml:space="preserve">t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)</w:t>
      </w:r>
      <w:r>
        <w:rPr>
          <w:rFonts w:ascii="Times New Roman" w:cs="Times New Roman" w:eastAsia="SimSun" w:hAnsi="Times New Roman"/>
          <w:sz w:val="19"/>
          <w:szCs w:val="19"/>
        </w:rPr>
        <w:t xml:space="preserve">；(b) 感染比例 </w:t>
      </w:r>
      <w:r>
        <w:rPr>
          <w:rFonts w:ascii="Cambria Math" w:eastAsia="SimSun" w:hAnsi="Cambria Math"/>
          <w:i/>
          <w:iCs/>
          <w:sz w:val="19"/>
          <w:szCs w:val="19"/>
        </w:rPr>
        <w:t xml:space="preserve">I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(</w:t>
      </w:r>
      <w:r>
        <w:rPr>
          <w:rFonts w:ascii="Cambria Math" w:eastAsia="SimSun" w:hAnsi="Cambria Math"/>
          <w:i/>
          <w:iCs/>
          <w:sz w:val="19"/>
          <w:szCs w:val="19"/>
        </w:rPr>
        <w:t xml:space="preserve">t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)</w:t>
      </w:r>
      <w:r>
        <w:rPr>
          <w:rFonts w:ascii="Times New Roman" w:cs="Times New Roman" w:eastAsia="SimSun" w:hAnsi="Times New Roman"/>
          <w:sz w:val="19"/>
          <w:szCs w:val="19"/>
        </w:rPr>
        <w:t xml:space="preserve">。</w:t>
      </w:r>
    </w:p>
    <w:p>
      <w:pPr>
        <w:pStyle w:val="Heading1"/>
        <w:spacing w:after="160" w:before="0"/>
        <w:jc w:val="center"/>
      </w:pPr>
      <w:r>
        <w:rPr>
          <w:rFonts w:ascii="Times New Roman" w:cs="Times New Roman" w:eastAsia="SimSun" w:hAnsi="Times New Roman"/>
          <w:b/>
          <w:bCs/>
          <w:color w:val="1A1A1A"/>
          <w:sz w:val="32"/>
          <w:szCs w:val="32"/>
        </w:rPr>
        <w:t xml:space="preserve">三、数值校验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仿真为 (3) 所定义连续时间 Markov 过程的精确 Gillespie 抽样，取 </w:t>
      </w:r>
      <w:r>
        <w:rPr>
          <w:rFonts w:ascii="Cambria Math" w:eastAsia="SimSun" w:hAnsi="Cambria Math"/>
          <w:i w:val="false"/>
          <w:iCs w:val="false"/>
        </w:rPr>
        <w:t xml:space="preserve">μ=1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内部自洽。</w:t>
      </w:r>
      <w:r>
        <w:rPr>
          <w:rFonts w:ascii="Times New Roman" w:cs="Times New Roman" w:eastAsia="SimSun" w:hAnsi="Times New Roman"/>
        </w:rPr>
        <w:t xml:space="preserve"> 方程组自带两条无需仿真的自检。其一为求和规则：对 (8) 逐态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求和应严格给出 (9)，残差处于机器精度（</w:t>
      </w:r>
      <w:r>
        <w:rPr>
          <w:rFonts w:ascii="Cambria Math" w:eastAsia="SimSun" w:hAnsi="Cambria Math"/>
          <w:i w:val="false"/>
          <w:iCs w:val="false"/>
        </w:rPr>
        <w:t xml:space="preserve">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-20</w:t>
      </w:r>
      <w:r>
        <w:rPr>
          <w:rFonts w:ascii="Times New Roman" w:cs="Times New Roman" w:eastAsia="SimSun" w:hAnsi="Times New Roman"/>
        </w:rPr>
        <w:t xml:space="preserve"> 量级），说明它是方程组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的代数恒等式。其二为全体成员易感的恒等式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m_a-1,0,0</w:t>
      </w:r>
      <w:r>
        <w:rPr>
          <w:rFonts w:ascii="Cambria Math" w:eastAsia="SimSun" w:hAnsi="Cambria Math"/>
          <w:i w:val="false"/>
          <w:iCs w:val="false"/>
        </w:rPr>
        <w:t xml:space="preserve">=[(1-ε)ψ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(Φ)]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m_a-1</w:t>
      </w:r>
      <w:r>
        <w:rPr>
          <w:rFonts w:ascii="Times New Roman" w:cs="Times New Roman" w:eastAsia="SimSun" w:hAnsi="Times New Roman"/>
        </w:rPr>
        <w:t xml:space="preserve">，其残差随积分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步长按 </w:t>
      </w:r>
      <w:r>
        <w:rPr>
          <w:rFonts w:ascii="Cambria Math" w:eastAsia="SimSun" w:hAnsi="Cambria Math"/>
          <w:i/>
          <w:iCs/>
        </w:rPr>
        <w:t xml:space="preserve">dt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4</w:t>
      </w:r>
      <w:r>
        <w:rPr>
          <w:rFonts w:ascii="Times New Roman" w:cs="Times New Roman" w:eastAsia="SimSun" w:hAnsi="Times New Roman"/>
        </w:rPr>
        <w:t xml:space="preserve"> 收敛（</w:t>
      </w:r>
      <w:r>
        <w:rPr>
          <w:rFonts w:ascii="Cambria Math" w:eastAsia="SimSun" w:hAnsi="Cambria Math"/>
          <w:i/>
          <w:iCs/>
        </w:rPr>
        <w:t xml:space="preserve">dt</w:t>
      </w:r>
      <w:r>
        <w:rPr>
          <w:rFonts w:ascii="Times New Roman" w:cs="Times New Roman" w:eastAsia="SimSun" w:hAnsi="Times New Roman"/>
        </w:rPr>
        <w:t xml:space="preserve"> 由 </w:t>
      </w:r>
      <w:r>
        <w:rPr>
          <w:rFonts w:ascii="Cambria Math" w:eastAsia="SimSun" w:hAnsi="Cambria Math"/>
          <w:i w:val="false"/>
          <w:iCs w:val="false"/>
        </w:rPr>
        <w:t xml:space="preserve">0.02</w:t>
      </w:r>
      <w:r>
        <w:rPr>
          <w:rFonts w:ascii="Times New Roman" w:cs="Times New Roman" w:eastAsia="SimSun" w:hAnsi="Times New Roman"/>
        </w:rPr>
        <w:t xml:space="preserve"> 逐次减半时残差为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1.3×10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-10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8.0×10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-12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5.0×10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-13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3.1×10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-14</w:t>
      </w:r>
      <w:r>
        <w:rPr>
          <w:rFonts w:ascii="Times New Roman" w:cs="Times New Roman" w:eastAsia="SimSun" w:hAnsi="Times New Roman"/>
        </w:rPr>
        <w:t xml:space="preserve">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相邻比约 </w:t>
      </w:r>
      <w:r>
        <w:rPr>
          <w:rFonts w:ascii="Cambria Math" w:eastAsia="SimSun" w:hAnsi="Cambria Math"/>
          <w:i w:val="false"/>
          <w:iCs w:val="false"/>
        </w:rPr>
        <w:t xml:space="preserve">16</w:t>
      </w:r>
      <w:r>
        <w:rPr>
          <w:rFonts w:ascii="Times New Roman" w:cs="Times New Roman" w:eastAsia="SimSun" w:hAnsi="Times New Roman"/>
        </w:rPr>
        <w:t xml:space="preserve">），与四阶 Runge–Kutta 的阶一致，说明该恒等式是方程组的严格推论、残差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纯属积分误差。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阈值自洽。</w:t>
      </w:r>
      <w:r>
        <w:rPr>
          <w:rFonts w:ascii="Times New Roman" w:cs="Times New Roman" w:eastAsia="SimSun" w:hAnsi="Times New Roman"/>
        </w:rPr>
        <w:t xml:space="preserve"> 阈值公式 (10) 与方程组自身在无病定态的线性失稳独立比对：将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(8) 作数值 Jacobian、对最大实部特征值二分求阈值，与 </w:t>
      </w:r>
      <w:r>
        <w:rPr>
          <w:rFonts w:ascii="Cambria Math" w:eastAsia="SimSun" w:hAnsi="Cambria Math"/>
          <w:i w:val="false"/>
          <w:iCs w:val="false"/>
        </w:rPr>
        <w:t xml:space="preserve">ρ(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)=1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在六组构型（含反相关度分布、非对称速率与群体规模、三层、以及成对退化情形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=1/3</w:t>
      </w:r>
      <w:r>
        <w:rPr>
          <w:rFonts w:ascii="Times New Roman" w:cs="Times New Roman" w:eastAsia="SimSun" w:hAnsi="Times New Roman"/>
        </w:rPr>
        <w:t xml:space="preserve">）上的相对差均不超过 </w:t>
      </w:r>
      <w:r>
        <w:rPr>
          <w:rFonts w:ascii="Cambria Math" w:eastAsia="SimSun" w:hAnsi="Cambria Math"/>
          <w:i w:val="false"/>
          <w:iCs w:val="false"/>
        </w:rPr>
        <w:t xml:space="preserve">1×10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-8</w:t>
      </w:r>
      <w:r>
        <w:rPr>
          <w:rFonts w:ascii="Times New Roman" w:cs="Times New Roman" w:eastAsia="SimSun" w:hAnsi="Times New Roman"/>
        </w:rPr>
        <w:t xml:space="preserve">，即数值 Jacobian 的有限差分精度。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两条路径不共享代码；若以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-1)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 取代群内级联 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Times New Roman" w:cs="Times New Roman" w:eastAsia="SimSun" w:hAnsi="Times New Roman"/>
        </w:rPr>
        <w:t xml:space="preserve">，该一致性立即消失。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含时复现。</w:t>
      </w:r>
      <w:r>
        <w:rPr>
          <w:rFonts w:ascii="Times New Roman" w:cs="Times New Roman" w:eastAsia="SimSun" w:hAnsi="Times New Roman"/>
        </w:rPr>
        <w:t xml:space="preserve"> 如图 1 所示，群体闭合与精确仿真在整个时间演化上逐点吻合，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与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的最大偏差均小于线宽（</w:t>
      </w:r>
      <w:r>
        <w:rPr>
          <w:rFonts w:ascii="Cambria Math" w:eastAsia="SimSun" w:hAnsi="Cambria Math"/>
          <w:i w:val="false"/>
          <w:iCs w:val="false"/>
        </w:rPr>
        <w:t xml:space="preserve">0.0039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 w:val="false"/>
          <w:iCs w:val="false"/>
        </w:rPr>
        <w:t xml:space="preserve">0.0011</w:t>
      </w:r>
      <w:r>
        <w:rPr>
          <w:rFonts w:ascii="Times New Roman" w:cs="Times New Roman" w:eastAsia="SimSun" w:hAnsi="Times New Roman"/>
        </w:rPr>
        <w:t xml:space="preserve">），感染峰高相差 </w:t>
      </w:r>
      <w:r>
        <w:rPr>
          <w:rFonts w:ascii="Cambria Math" w:eastAsia="SimSun" w:hAnsi="Cambria Math"/>
          <w:i w:val="false"/>
          <w:iCs w:val="false"/>
        </w:rPr>
        <w:t xml:space="preserve">0.9%</w:t>
      </w:r>
      <w:r>
        <w:rPr>
          <w:rFonts w:ascii="Times New Roman" w:cs="Times New Roman" w:eastAsia="SimSun" w:hAnsi="Times New Roman"/>
        </w:rPr>
        <w:t xml:space="preserve">；对峰邻域作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抛物线插值以消除网格离散后，闭合与仿真的峰位分别为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=4.38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 w:val="false"/>
          <w:iCs w:val="false"/>
        </w:rPr>
        <w:t xml:space="preserve">4.37</w:t>
      </w:r>
      <w:r>
        <w:rPr>
          <w:rFonts w:ascii="Times New Roman" w:cs="Times New Roman" w:eastAsia="SimSun" w:hAnsi="Times New Roman"/>
        </w:rPr>
        <w:t xml:space="preserve">，相差约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0.01</w:t>
      </w:r>
      <w:r>
        <w:rPr>
          <w:rFonts w:ascii="Times New Roman" w:cs="Times New Roman" w:eastAsia="SimSun" w:hAnsi="Times New Roman"/>
        </w:rPr>
        <w:t xml:space="preserve">；度均场则系统性偏离。偏差随系统规模的标度进一步表明，群体闭合的误差随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Times New Roman" w:cs="Times New Roman" w:eastAsia="SimSun" w:hAnsi="Times New Roman"/>
        </w:rPr>
        <w:t xml:space="preserve"> 增大单调趋零（至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=8000</w:t>
      </w:r>
      <w:r>
        <w:rPr>
          <w:rFonts w:ascii="Times New Roman" w:cs="Times New Roman" w:eastAsia="SimSun" w:hAnsi="Times New Roman"/>
        </w:rPr>
        <w:t xml:space="preserve"> 已落入蒙特卡洛噪声），而度均场的误差收敛到非零平台——两者不是同一类误差：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前者可靠增大系统消除，后者是闭合层级的误差，不能。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独立复算。</w:t>
      </w:r>
      <w:r>
        <w:rPr>
          <w:rFonts w:ascii="Times New Roman" w:cs="Times New Roman" w:eastAsia="SimSun" w:hAnsi="Times New Roman"/>
        </w:rPr>
        <w:t xml:space="preserve"> 上述结果均由与原推导不共享路径的方式复核：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=2</w:t>
      </w:r>
      <w:r>
        <w:rPr>
          <w:rFonts w:ascii="Times New Roman" w:cs="Times New Roman" w:eastAsia="SimSun" w:hAnsi="Times New Roman"/>
        </w:rPr>
        <w:t xml:space="preserve">（成对）退化情形下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方程组可解析积出终态不动点，与 RK4 积分的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(∞)</w:t>
      </w:r>
      <w:r>
        <w:rPr>
          <w:rFonts w:ascii="Times New Roman" w:cs="Times New Roman" w:eastAsia="SimSun" w:hAnsi="Times New Roman"/>
        </w:rPr>
        <w:t xml:space="preserve"> 相差 </w:t>
      </w:r>
      <w:r>
        <w:rPr>
          <w:rFonts w:ascii="Cambria Math" w:eastAsia="SimSun" w:hAnsi="Cambria Math"/>
          <w:i w:val="false"/>
          <w:iCs w:val="false"/>
        </w:rPr>
        <w:t xml:space="preserve">3×10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-14</w:t>
      </w:r>
      <w:r>
        <w:rPr>
          <w:rFonts w:ascii="Times New Roman" w:cs="Times New Roman" w:eastAsia="SimSun" w:hAnsi="Times New Roman"/>
        </w:rPr>
        <w:t xml:space="preserve">；群内级联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Times New Roman" w:cs="Times New Roman" w:eastAsia="SimSun" w:hAnsi="Times New Roman"/>
        </w:rPr>
        <w:t xml:space="preserve"> 由孤立群体的直接蒙特卡洛复核，全部十五组参数（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=2,…,6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 w:val="false"/>
          <w:iCs w:val="false"/>
        </w:rPr>
        <w:t xml:space="preserve">λ=0.5,1,2</w:t>
      </w:r>
      <w:r>
        <w:rPr>
          <w:rFonts w:ascii="Times New Roman" w:cs="Times New Roman" w:eastAsia="SimSun" w:hAnsi="Times New Roman"/>
        </w:rPr>
        <w:t xml:space="preserve">）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的标准化偏差均不超过 </w:t>
      </w:r>
      <w:r>
        <w:rPr>
          <w:rFonts w:ascii="Cambria Math" w:eastAsia="SimSun" w:hAnsi="Cambria Math"/>
          <w:i w:val="false"/>
          <w:iCs w:val="false"/>
        </w:rPr>
        <w:t xml:space="preserve">2.5σ</w:t>
      </w:r>
      <w:r>
        <w:rPr>
          <w:rFonts w:ascii="Times New Roman" w:cs="Times New Roman" w:eastAsia="SimSun" w:hAnsi="Times New Roman"/>
        </w:rPr>
        <w:t xml:space="preserve">、与无系统偏差相容；阈值本身亦由亚临界终态外推独立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测得，与 (10) 的解析值相容。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1"/>
        <w:szCs w:val="21"/>
      </w:rPr>
    </w:rPrDefault>
    <w:pPrDefault>
      <w:pPr>
        <w:spacing w:line="3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bf459dc61b4fbb61c1443aed58e8447fe6557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I 部分　引言与定位</dc:title>
  <dc:creator>SIR on Directed Hypergraphs</dc:creator>
  <cp:lastModifiedBy>Un-named</cp:lastModifiedBy>
  <cp:revision>1</cp:revision>
  <dcterms:created xsi:type="dcterms:W3CDTF">2026-08-17T11:47:15.994Z</dcterms:created>
  <dcterms:modified xsi:type="dcterms:W3CDTF">2026-08-17T11:47:16.008Z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