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多重超图上的 SIR 传播：多渠道群体交互的仓室理论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本文分为两部分。第 1 节确立模型：给出多重超图的定义与记号、跨层共享状态的 SIR 动力学，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并分离出两个可独立调节的层间结构自由度。第 2 节建立理论：从空腔构造出发得到与系统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规模无关的闭方程组，给出爆发阈值的矩阵形式，并与度均场逐项比较。第 3 节列出为支撑这些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结论所需的计算及其预期结果，第 4 节说明各结果分别支撑哪一条论断，第 5 节汇总工作进度。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1. 模型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1.1 多重超图与记号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设节点集为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=|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=1,…,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，层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是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Times New Roman" w:cs="Times New Roman" w:eastAsia="SimSun" w:hAnsi="Times New Roman"/>
        </w:rPr>
        <w:t xml:space="preserve"> 上的超图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，主线取同质基数 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|=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。节点的层度定义为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: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，写成向量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；由逐边计数得握手关系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|</w:t>
      </w:r>
      <w:r>
        <w:rPr>
          <w:rFonts w:ascii="Times New Roman" w:cs="Times New Roman" w:eastAsia="SimSun" w:hAnsi="Times New Roman"/>
        </w:rPr>
        <w:t xml:space="preserve">。引入两个生成函数：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k_c</w:t>
      </w:r>
      <w:r>
        <w:rPr>
          <w:rFonts w:ascii="Cambria Math" w:eastAsia="SimSun" w:hAnsi="Cambria Math"/>
          <w:sz w:val="21"/>
          <w:szCs w:val="21"/>
        </w:rPr>
        <w:t xml:space="preserve">	(1.1)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)∏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 k_c-δ_ac</w:t>
      </w:r>
      <w:r>
        <w:rPr>
          <w:rFonts w:ascii="Cambria Math" w:eastAsia="SimSun" w:hAnsi="Cambria Math"/>
          <w:sz w:val="21"/>
          <w:szCs w:val="21"/>
        </w:rPr>
        <w:t xml:space="preserve">	(1.2)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描述节点侧，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描述沿层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的一个成员槽到达某节点时该节点的余度分布，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指数中的 </w:t>
      </w: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ac</w:t>
      </w:r>
      <w:r>
        <w:rPr>
          <w:rFonts w:ascii="Times New Roman" w:cs="Times New Roman" w:eastAsia="SimSun" w:hAnsi="Times New Roman"/>
        </w:rPr>
        <w:t xml:space="preserve"> 即余度相减：来路那个群体不再计入。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由此确立本文的第一个结构输入——</w:t>
      </w:r>
      <w:r>
        <w:rPr>
          <w:rFonts w:ascii="Times New Roman" w:cs="Times New Roman" w:eastAsia="SimSun" w:hAnsi="Times New Roman"/>
          <w:b/>
          <w:bCs/>
        </w:rPr>
        <w:t xml:space="preserve">联合层度分布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。层间的一切效应最终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只经由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的交叉项（即 </w:t>
      </w: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</w:t>
      </w:r>
      <w:r>
        <w:rPr>
          <w:rFonts w:ascii="Times New Roman" w:cs="Times New Roman" w:eastAsia="SimSun" w:hAnsi="Times New Roman"/>
        </w:rPr>
        <w:t xml:space="preserve"> 一族）进入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动力学，不存在第三条通道；这一事实在 3.2 节将转化为一条可证伪的预言。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须注意余度相减在本模型中存在，而在有向超图中不存在：有向情形下尾侧偏置与入度计数是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两个不同的量，故无相减；此处成员槽与计数是同一个量，相减因而恢复。由有向工作移植公式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时，这一处必须相应修改。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1.2 SIR 动力学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每个节点的状态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v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Times New Roman" w:cs="Times New Roman" w:eastAsia="SimSun" w:hAnsi="Times New Roman"/>
          <w:b/>
          <w:bCs/>
        </w:rPr>
        <w:t xml:space="preserve">跨层共享</w:t>
      </w:r>
      <w:r>
        <w:rPr>
          <w:rFonts w:ascii="Times New Roman" w:cs="Times New Roman" w:eastAsia="SimSun" w:hAnsi="Times New Roman"/>
        </w:rPr>
        <w:t xml:space="preserve">，这是"个体在任一渠道被感染即在所有渠道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中均为感染态"的形式化表述。记层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中已感染成员数为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)=|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∩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)|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当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时群体处于激活态，向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中每个易感成员各以速率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独立传递；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</w:rPr>
        <w:t xml:space="preserve">&lt;θ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时群体静默。感染者以速率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康复。易感节点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的总风险率为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e∈E_a: u∈e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</w:t>
      </w:r>
      <w:r>
        <w:rPr>
          <w:rFonts w:ascii="Cambria Math" w:eastAsia="SimSun" w:hAnsi="Cambria Math"/>
          <w:sz w:val="21"/>
          <w:szCs w:val="21"/>
        </w:rPr>
        <w:t xml:space="preserve">	(1.3)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以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归一时间后记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/μ</w:t>
      </w:r>
      <w:r>
        <w:rPr>
          <w:rFonts w:ascii="Times New Roman" w:cs="Times New Roman" w:eastAsia="SimSun" w:hAnsi="Times New Roman"/>
        </w:rPr>
        <w:t xml:space="preserve">，主线取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，其中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为渠道权重（模型参数），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为唯一的标量控制参数。主线取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由此得到一个单控制参数的连续时间 Markov 过程，可用 Gillespie 算法精确抽样；后文所有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"理论与真值"的比较均以该抽样为真值。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本模型与有向超图的关键差异在于：无向群体中每个成员既是传染源也是传染靶。一个成员被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感染后群体随即激活，它可以感染同群其他成员，而后者被感染又</w:t>
      </w:r>
      <w:r>
        <w:rPr>
          <w:rFonts w:ascii="Times New Roman" w:cs="Times New Roman" w:eastAsia="SimSun" w:hAnsi="Times New Roman"/>
          <w:b/>
          <w:bCs/>
        </w:rPr>
        <w:t xml:space="preserve">延长</w:t>
      </w:r>
      <w:r>
        <w:rPr>
          <w:rFonts w:ascii="Times New Roman" w:cs="Times New Roman" w:eastAsia="SimSun" w:hAnsi="Times New Roman"/>
        </w:rPr>
        <w:t xml:space="preserve">群体的激活时长，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从而进一步提高剩余成员被感染的概率。这一"群内级联"在有向超图中不存在——尾集与头集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不相交，头成员被感染并不延长激活。本模型的全部新内容均源于此。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1.3 两个层间结构量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定义两个可独立调节、且作用于生成流程不同环节的结构量。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层间参与相关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corr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刻画在一个渠道活跃的个体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是否同时在另一渠道活跃。它由联合度序列决定，与群体如何连接无关，因此只能在构造度序列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的阶段调节。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层间群体重叠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o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=(1)/(|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e∈E_a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f∈E_b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(|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∩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f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|)/(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min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(1.4)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刻画同一群人是否同时构成两层的群体。它在度序列固定之后，才由群体重排调节。二者因而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互不干扰，对应 3.2 节两组独立的扫描。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在推导之前须先测定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在保联合度约束下的可动范围。在有向超图的相应工作中，同类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量在保度双边交换下仅能移动 </w:t>
      </w:r>
      <w:r>
        <w:rPr>
          <w:rFonts w:ascii="Cambria Math" w:eastAsia="SimSun" w:hAnsi="Cambria Math"/>
          <w:i w:val="false"/>
          <w:iCs w:val="false"/>
        </w:rPr>
        <w:t xml:space="preserve">0.005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0.006</w:t>
      </w:r>
      <w:r>
        <w:rPr>
          <w:rFonts w:ascii="Times New Roman" w:cs="Times New Roman" w:eastAsia="SimSun" w:hAnsi="Times New Roman"/>
        </w:rPr>
        <w:t xml:space="preserve">，该区间之窄使仿真无法分辨其效应，最终必须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另行构造定向重连工具方能检验。本模型应先完成这一测定，再决定是否将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列为主线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结构参数。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1.4 可约性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1（可约性）.</w:t>
      </w:r>
      <w:r>
        <w:rPr>
          <w:rFonts w:ascii="Times New Roman" w:cs="Times New Roman" w:eastAsia="SimSun" w:hAnsi="Times New Roman"/>
        </w:rPr>
        <w:t xml:space="preserve"> 设节点状态跨层共享，且各层群体按 (1.3) 独立传递。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令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̃</w:t>
      </w:r>
      <w:r>
        <w:rPr>
          <w:rFonts w:ascii="Times New Roman" w:cs="Times New Roman" w:eastAsia="SimSun" w:hAnsi="Times New Roman"/>
        </w:rPr>
        <w:t xml:space="preserve"> 为把全部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并成一个</w:t>
      </w:r>
      <w:r>
        <w:rPr>
          <w:rFonts w:ascii="Times New Roman" w:cs="Times New Roman" w:eastAsia="SimSun" w:hAnsi="Times New Roman"/>
          <w:b/>
          <w:bCs/>
        </w:rPr>
        <w:t xml:space="preserve">多重集</w:t>
      </w:r>
      <w:r>
        <w:rPr>
          <w:rFonts w:ascii="Times New Roman" w:cs="Times New Roman" w:eastAsia="SimSun" w:hAnsi="Times New Roman"/>
        </w:rPr>
        <w:t xml:space="preserve">（两层可以含有节点集相同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的群体，合并时必须保留重数）、每条超边保留其层标签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（从而保留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）所得的单层带型超图。则多重超图上的过程与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</w:rPr>
        <w:t xml:space="preserve">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上的 SIR 过程同分布。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两个过程的状态空间同为 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V</w:t>
      </w:r>
      <w:r>
        <w:rPr>
          <w:rFonts w:ascii="Times New Roman" w:cs="Times New Roman" w:eastAsia="SimSun" w:hAnsi="Times New Roman"/>
        </w:rPr>
        <w:t xml:space="preserve">。生成元是各超边贡献之和，而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(1.3) 中每条超边的贡献只依赖于该超边的成员集合、其 </w:t>
      </w:r>
      <w:r>
        <w:rPr>
          <w:rFonts w:ascii="Cambria Math" w:eastAsia="SimSun" w:hAnsi="Cambria Math"/>
          <w:i w:val="false"/>
          <w:iCs w:val="false"/>
        </w:rPr>
        <w:t xml:space="preserve">(θ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,β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当前构型，不依赖于它属于哪一层；康复项逐节点相同。故两个生成元逐项相等。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有两项推论。其一，多层结构带来的并非新的动力学，而是新的</w:t>
      </w:r>
      <w:r>
        <w:rPr>
          <w:rFonts w:ascii="Times New Roman" w:cs="Times New Roman" w:eastAsia="SimSun" w:hAnsi="Times New Roman"/>
          <w:b/>
          <w:bCs/>
        </w:rPr>
        <w:t xml:space="preserve">结构自由度</w:t>
      </w:r>
      <w:r>
        <w:rPr>
          <w:rFonts w:ascii="Times New Roman" w:cs="Times New Roman" w:eastAsia="SimSun" w:hAnsi="Times New Roman"/>
        </w:rPr>
        <w:t xml:space="preserve">——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联合层度分布（含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）与层间群体重叠。单层带型超图的位形模型默认各型度相互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独立，而真实的多层结构并不独立，恰是这一项移动阈值。其二，任何单层带型超图的理论都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自动求解本模型，故第 2 节的闭合可在单层语言下推导、在多层语言下解读。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该命题宜置于正文显著位置。可约性是审稿人必然会自行注意到的性质，主动说明可使论文的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贡献定位更为准确；命题 1 因而不是模型的缺陷，而是界定贡献范围的工具。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的失效边界给出 3.3 节的入口：若节点将跨层暴露合并之后再判定阈值，即风险率取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而非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g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，则生成元不再可按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超边分解，命题 1 失效，渠道之间产生真正的动力学耦合。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2. 理论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 三个仓室层级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全文的定量比较固定在下列三个层级之间。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层级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仓室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忽略的关联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维数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度均场（基线）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按层度类 </w:t>
            </w:r>
            <w:r>
              <w:rPr>
                <w:rFonts w:ascii="Cambria Math" w:eastAsia="SimSun" w:hAnsi="Cambria Math"/>
                <w:i/>
                <w:iCs/>
              </w:rPr>
              <w:t xml:space="preserve">k</w:t>
            </w:r>
            <w:r>
              <w:rPr>
                <w:rFonts w:ascii="Times New Roman" w:cs="Times New Roman" w:eastAsia="SimSun" w:hAnsi="Times New Roman"/>
              </w:rPr>
              <w:t xml:space="preserve"> 的节点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群内相关、邻域相关、群内级联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层度类数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群体闭合（主结果）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群体的成员计数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，逐层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群体之间的相关（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(1/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+1, 2)+1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全构型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——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3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N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固定这一坐标系之后，"闭合相对均场的改进"成为结构性的陈述，而非散落各处的零星比较。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2.2 空腔构造与两条假设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固定一个检验节点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，人为令其永久保持易感（空腔节点）。取一个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，定义边基变量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到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时刻尚未向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传递]</w:t>
      </w:r>
      <w:r>
        <w:rPr>
          <w:rFonts w:ascii="Cambria Math" w:eastAsia="SimSun" w:hAnsi="Cambria Math"/>
          <w:sz w:val="21"/>
          <w:szCs w:val="21"/>
        </w:rPr>
        <w:t xml:space="preserve">	(2.1)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(H1) 局域树状.</w:t>
      </w:r>
      <w:r>
        <w:rPr>
          <w:rFonts w:ascii="Times New Roman" w:cs="Times New Roman" w:eastAsia="SimSun" w:hAnsi="Times New Roman"/>
        </w:rPr>
        <w:t xml:space="preserve"> 位形模型系综在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时局域收敛于超树，任一有限邻域内出现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回路的概率为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。据此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所属各群体的上游分支互不相交，因而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)=(1-ε) Ψ(Φ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),…,Φ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</w:t>
      </w:r>
      <w:r>
        <w:rPr>
          <w:rFonts w:ascii="Cambria Math" w:eastAsia="SimSun" w:hAnsi="Cambria Math"/>
          <w:sz w:val="21"/>
          <w:szCs w:val="21"/>
        </w:rPr>
        <w:t xml:space="preserve">	(2.2)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(H2′) 成员的外部暴露相互独立且同分布.</w:t>
      </w:r>
      <w:r>
        <w:rPr>
          <w:rFonts w:ascii="Times New Roman" w:cs="Times New Roman" w:eastAsia="SimSun" w:hAnsi="Times New Roman"/>
        </w:rPr>
        <w:t xml:space="preserve"> 去掉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之后，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的各成员落在互不相交的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分支中（由 (H1)），故它们经由自身其他群体被感染的过程相互独立；又由位形模型的交换性，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它们的层度是从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Times New Roman" w:cs="Times New Roman" w:eastAsia="SimSun" w:hAnsi="Times New Roman"/>
        </w:rPr>
        <w:t xml:space="preserve"> 偏置分布中独立同分布抽取的。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(H2′) 弱于有向工作中的 (H2)，此处口径必须相应修改。(H2) 断言的是成员之间完全不相互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作用；本模型中成员之间通过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本身强烈相互作用（即群内级联），独立性只对</w:t>
      </w:r>
      <w:r>
        <w:rPr>
          <w:rFonts w:ascii="Times New Roman" w:cs="Times New Roman" w:eastAsia="SimSun" w:hAnsi="Times New Roman"/>
          <w:b/>
          <w:bCs/>
        </w:rPr>
        <w:t xml:space="preserve">外部</w:t>
      </w:r>
      <w:r>
        <w:rPr>
          <w:rFonts w:ascii="Times New Roman" w:cs="Times New Roman" w:eastAsia="SimSun" w:hAnsi="Times New Roman"/>
        </w:rPr>
        <w:t xml:space="preserve">暴露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成立。群内耦合并未被忽略，而是被下节的计数状态完整吸收。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2.3 群体计数仓室与方程组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所属的层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群体 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，以其除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外的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+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）为仓室，定义未传递子概率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Pr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尚未向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传递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∧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∖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{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}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处于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)]</w:t>
      </w:r>
      <w:r>
        <w:rPr>
          <w:rFonts w:ascii="Cambria Math" w:eastAsia="SimSun" w:hAnsi="Cambria Math"/>
          <w:sz w:val="21"/>
          <w:szCs w:val="21"/>
        </w:rPr>
        <w:t xml:space="preserve">	(2.3)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于是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，并记激活且未传递的部分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i≥θ_a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。由于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恒为易感，它不计入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群体的激活只取决于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由 (H2′)，一个成员经由其他群体到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时刻仍易感的概率为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(1-ε)ψ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(Φ)</w:t>
      </w:r>
      <w:r>
        <w:rPr>
          <w:rFonts w:ascii="Times New Roman" w:cs="Times New Roman" w:eastAsia="SimSun" w:hAnsi="Times New Roman"/>
        </w:rPr>
        <w:t xml:space="preserve">，其瞬时外部风险率因而是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dt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ln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[(1-ε)ψ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(Φ)] =Σ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(∂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(Φ))/(ψ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(Φ))</w:t>
      </w:r>
      <w:r>
        <w:rPr>
          <w:rFonts w:ascii="Cambria Math" w:eastAsia="SimSun" w:hAnsi="Cambria Math"/>
          <w:sz w:val="21"/>
          <w:szCs w:val="21"/>
        </w:rPr>
        <w:t xml:space="preserve">	(2.4)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一个易感成员的总感染率为外部与群内之和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；群体向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的传递以速率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1[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≥θ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]</w:t>
      </w:r>
      <w:r>
        <w:rPr>
          <w:rFonts w:ascii="Times New Roman" w:cs="Times New Roman" w:eastAsia="SimSun" w:hAnsi="Times New Roman"/>
        </w:rPr>
        <w:t xml:space="preserve"> 将概率移出"未传递"类。据此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begin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 &amp;(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s+1,i-1,r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-(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h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  &amp;+μ[(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s,i+1,r-1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sir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end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aligned</w:t>
      </w:r>
      <w:r>
        <w:rPr>
          <w:rFonts w:ascii="Cambria Math" w:eastAsia="SimSun" w:hAnsi="Cambria Math"/>
          <w:sz w:val="21"/>
          <w:szCs w:val="21"/>
        </w:rPr>
        <w:t xml:space="preserve">	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（越界下标记为零。）等价地，在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之外添一个"已传递"的吸收态，则整体是一条标准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的连续时间 Markov 链，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sir</w:t>
      </w:r>
      <w:r>
        <w:rPr>
          <w:rFonts w:ascii="Times New Roman" w:cs="Times New Roman" w:eastAsia="SimSun" w:hAnsi="Times New Roman"/>
        </w:rPr>
        <w:t xml:space="preserve"> 为其未被吸收部分的子概率。对 (2.5)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求和，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项、群内项与 </w:t>
      </w:r>
      <w:r>
        <w:rPr>
          <w:rFonts w:ascii="Cambria Math" w:eastAsia="SimSun" w:hAnsi="Cambria Math"/>
          <w:i w:val="false"/>
          <w:iCs w:val="false"/>
        </w:rPr>
        <w:t xml:space="preserve">μ</w:t>
      </w:r>
      <w:r>
        <w:rPr>
          <w:rFonts w:ascii="Times New Roman" w:cs="Times New Roman" w:eastAsia="SimSun" w:hAnsi="Times New Roman"/>
        </w:rPr>
        <w:t xml:space="preserve"> 项各自守恒相消，只余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Φ̇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Φ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sz w:val="21"/>
          <w:szCs w:val="21"/>
        </w:rPr>
        <w:t xml:space="preserve">	(2.6)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与 (2.4) 自洽。节点侧由 (2.2) 与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̇=μ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闭合。初始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条件取 </w:t>
      </w:r>
      <w:r>
        <w:rPr>
          <w:rFonts w:ascii="Cambria Math" w:eastAsia="SimSun" w:hAnsi="Cambria Math"/>
          <w:i/>
          <w:iCs/>
        </w:rPr>
        <w:t xml:space="preserve">x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s,i,0</w:t>
      </w:r>
      <w:r>
        <w:rPr>
          <w:rFonts w:ascii="Cambria Math" w:eastAsia="SimSun" w:hAnsi="Cambria Math"/>
          <w:i w:val="false"/>
          <w:iCs w:val="false"/>
        </w:rPr>
        <w:t xml:space="preserve">(0)=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-1,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)(1-ε)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ε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i</w:t>
      </w:r>
      <w:r>
        <w:rPr>
          <w:rFonts w:ascii="Times New Roman" w:cs="Times New Roman" w:eastAsia="SimSun" w:hAnsi="Times New Roman"/>
        </w:rPr>
        <w:t xml:space="preserve">，其余为零，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(0)=1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方程组共 </w:t>
      </w:r>
      <w:r>
        <w:rPr>
          <w:rFonts w:ascii="Cambria Math" w:eastAsia="SimSun" w:hAnsi="Cambria Math"/>
          <w:i w:val="false"/>
          <w:iCs w:val="false"/>
        </w:rPr>
        <w:t xml:space="preserve">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+1, 2)+1</w:t>
      </w:r>
      <w:r>
        <w:rPr>
          <w:rFonts w:ascii="Times New Roman" w:cs="Times New Roman" w:eastAsia="SimSun" w:hAnsi="Times New Roman"/>
        </w:rPr>
        <w:t xml:space="preserve"> 维（各层的群体计数加上节点侧的单个独立标量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由 (2.2) 决定、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=1-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导出），</w:t>
      </w:r>
      <w:r>
        <w:rPr>
          <w:rFonts w:ascii="Times New Roman" w:cs="Times New Roman" w:eastAsia="SimSun" w:hAnsi="Times New Roman"/>
          <w:b/>
          <w:bCs/>
        </w:rPr>
        <w:t xml:space="preserve">与系统规模 </w:t>
      </w:r>
      <w:r>
        <w:rPr>
          <w:rFonts w:ascii="Cambria Math" w:eastAsia="SimSun" w:hAnsi="Cambria Math"/>
          <w:b/>
          <w:bCs/>
          <w:i/>
          <w:iCs/>
        </w:rPr>
        <w:t xml:space="preserve">N</w:t>
      </w:r>
      <w:r>
        <w:rPr>
          <w:rFonts w:ascii="Times New Roman" w:cs="Times New Roman" w:eastAsia="SimSun" w:hAnsi="Times New Roman"/>
          <w:b/>
          <w:bCs/>
        </w:rPr>
        <w:t xml:space="preserve"> 无关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时为 </w:t>
      </w:r>
      <w:r>
        <w:rPr>
          <w:rFonts w:ascii="Cambria Math" w:eastAsia="SimSun" w:hAnsi="Cambria Math"/>
          <w:i w:val="false"/>
          <w:iCs w:val="false"/>
        </w:rPr>
        <w:t xml:space="preserve">16+1=17</w:t>
      </w:r>
      <w:r>
        <w:rPr>
          <w:rFonts w:ascii="Times New Roman" w:cs="Times New Roman" w:eastAsia="SimSun" w:hAnsi="Times New Roman"/>
        </w:rPr>
        <w:t xml:space="preserve"> 个方程），积分一次即给出完整的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与终态规模。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方程组自带两条无需仿真的自检。其一为求和规则，应严格给出 (2.6)；其二为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全体成员易感蕴含群体从未激活、因而必未传递，故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x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m_a-1,0,0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)=[(1-ε) ψ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(Φ(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t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))]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m_a-1</w:t>
      </w:r>
      <w:r>
        <w:rPr>
          <w:rFonts w:ascii="Cambria Math" w:eastAsia="SimSun" w:hAnsi="Cambria Math"/>
          <w:sz w:val="21"/>
          <w:szCs w:val="21"/>
        </w:rPr>
        <w:t xml:space="preserve">	(2.7)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对一切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成立。二者均已验证：前者残差为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-20</w:t>
      </w:r>
      <w:r>
        <w:rPr>
          <w:rFonts w:ascii="Times New Roman" w:cs="Times New Roman" w:eastAsia="SimSun" w:hAnsi="Times New Roman"/>
        </w:rPr>
        <w:t xml:space="preserve">，达机器精度；后者残差按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dt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4</w:t>
      </w:r>
      <w:r>
        <w:rPr>
          <w:rFonts w:ascii="Times New Roman" w:cs="Times New Roman" w:eastAsia="SimSun" w:hAnsi="Times New Roman"/>
        </w:rPr>
        <w:t xml:space="preserve"> 收敛，与 RK4 的阶一致，说明 (2.7) 是方程组的严格推论，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残差纯属积分误差。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2.4 闭合的精度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2（渐近精确性）.</w:t>
      </w:r>
      <w:r>
        <w:rPr>
          <w:rFonts w:ascii="Times New Roman" w:cs="Times New Roman" w:eastAsia="SimSun" w:hAnsi="Times New Roman"/>
        </w:rPr>
        <w:t xml:space="preserve"> 在 (H1) 与 (H2′) 下，(2.2) 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(2.4)–(2.6) 给出的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→∞</w:t>
      </w:r>
      <w:r>
        <w:rPr>
          <w:rFonts w:ascii="Times New Roman" w:cs="Times New Roman" w:eastAsia="SimSun" w:hAnsi="Times New Roman"/>
        </w:rPr>
        <w:t xml:space="preserve"> 时与精确过程一致。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论证要点.</w:t>
      </w:r>
      <w:r>
        <w:rPr>
          <w:rFonts w:ascii="Times New Roman" w:cs="Times New Roman" w:eastAsia="SimSun" w:hAnsi="Times New Roman"/>
        </w:rPr>
        <w:t xml:space="preserve"> (i) 由 (H1)，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Times New Roman" w:cs="Times New Roman" w:eastAsia="SimSun" w:hAnsi="Times New Roman"/>
        </w:rPr>
        <w:t xml:space="preserve"> 所属各群体的上游分支互不相交，(2.2) 的乘积形式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成立。(ii) 由 (H2′)，</w:t>
      </w:r>
      <w:r>
        <w:rPr>
          <w:rFonts w:ascii="Cambria Math" w:eastAsia="SimSun" w:hAnsi="Cambria Math"/>
          <w:i/>
          <w:iCs/>
        </w:rPr>
        <w:t xml:space="preserve">e</w:t>
      </w:r>
      <w:r>
        <w:rPr>
          <w:rFonts w:ascii="Times New Roman" w:cs="Times New Roman" w:eastAsia="SimSun" w:hAnsi="Times New Roman"/>
        </w:rPr>
        <w:t xml:space="preserve"> 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 个成员的外部感染时刻相互独立且共享同一生存函数；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对独立同分布个体，其尚存活人数是以总体风险率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为速率的 Markov 计数过程，故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(2.5) 中的 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h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项精确。(iii) 群内传染只依赖于 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，且对全体易感成员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对称，故计数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是充分统计量。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数值证据如下。取 </w:t>
      </w:r>
      <w:r>
        <w:rPr>
          <w:rFonts w:ascii="Cambria Math" w:eastAsia="SimSun" w:hAnsi="Cambria Math"/>
          <w:i w:val="false"/>
          <w:iCs w:val="false"/>
        </w:rPr>
        <w:t xml:space="preserve">λ=0.35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ε=0.02</w:t>
      </w:r>
      <w:r>
        <w:rPr>
          <w:rFonts w:ascii="Times New Roman" w:cs="Times New Roman" w:eastAsia="SimSun" w:hAnsi="Times New Roman"/>
        </w:rPr>
        <w:t xml:space="preserve">，每点 </w:t>
      </w:r>
      <w:r>
        <w:rPr>
          <w:rFonts w:ascii="Cambria Math" w:eastAsia="SimSun" w:hAnsi="Cambria Math"/>
          <w:i w:val="false"/>
          <w:iCs w:val="false"/>
        </w:rPr>
        <w:t xml:space="preserve">300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500</w:t>
      </w:r>
      <w:r>
        <w:rPr>
          <w:rFonts w:ascii="Times New Roman" w:cs="Times New Roman" w:eastAsia="SimSun" w:hAnsi="Times New Roman"/>
        </w:rPr>
        <w:t xml:space="preserve"> 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独立实现，闭合与精确仿真在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≤12</w:t>
      </w:r>
      <w:r>
        <w:rPr>
          <w:rFonts w:ascii="Times New Roman" w:cs="Times New Roman" w:eastAsia="SimSun" w:hAnsi="Times New Roman"/>
        </w:rPr>
        <w:t xml:space="preserve"> 上的平均偏差随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单调下降：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b/>
                <w:bCs/>
                <w:i/>
                <w:iCs/>
              </w:rPr>
              <w:t xml:space="preserve">N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500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1000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2000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4000</w:t>
            </w:r>
          </w:p>
        </w:tc>
        <w:tc>
          <w:tcPr>
            <w:tcW w:type="dxa" w:w="156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8000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平均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|Δ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|</w:t>
            </w:r>
            <w:r>
              <w:rPr>
                <w:rFonts w:ascii="Times New Roman" w:cs="Times New Roman" w:eastAsia="SimSun" w:hAnsi="Times New Roman"/>
              </w:rPr>
              <w:t xml:space="preserve">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4.95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1.84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1.23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0.89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0.29</w:t>
            </w:r>
          </w:p>
        </w:tc>
      </w:tr>
      <w:tr>
        <w:trPr>
          <w:tblHeader w:val="false"/>
        </w:trPr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蒙特卡洛噪声底（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  <w:r>
              <w:rPr>
                <w:rFonts w:ascii="Times New Roman" w:cs="Times New Roman" w:eastAsia="SimSun" w:hAnsi="Times New Roman"/>
              </w:rPr>
              <w:t xml:space="preserve">）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1.05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0.72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0.51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0.35</w:t>
            </w:r>
          </w:p>
        </w:tc>
        <w:tc>
          <w:tcPr>
            <w:tcW w:type="dxa" w:w="156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0.32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至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偏差已落入噪声之下、不可分辨。幂律拟合给出指数 </w:t>
      </w:r>
      <w:r>
        <w:rPr>
          <w:rFonts w:ascii="Cambria Math" w:eastAsia="SimSun" w:hAnsi="Cambria Math"/>
          <w:i w:val="false"/>
          <w:iCs w:val="false"/>
        </w:rPr>
        <w:t xml:space="preserve">-0.92</w:t>
      </w:r>
      <w:r>
        <w:rPr>
          <w:rFonts w:ascii="Times New Roman" w:cs="Times New Roman" w:eastAsia="SimSun" w:hAnsi="Times New Roman"/>
        </w:rPr>
        <w:t xml:space="preserve">（子集拟合散布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-0.80</w:t>
      </w:r>
      <w:r>
        <w:rPr>
          <w:rFonts w:ascii="Times New Roman" w:cs="Times New Roman" w:eastAsia="SimSun" w:hAnsi="Times New Roman"/>
        </w:rPr>
        <w:t xml:space="preserve"> 至 </w:t>
      </w:r>
      <w:r>
        <w:rPr>
          <w:rFonts w:ascii="Cambria Math" w:eastAsia="SimSun" w:hAnsi="Cambria Math"/>
          <w:i w:val="false"/>
          <w:iCs w:val="false"/>
        </w:rPr>
        <w:t xml:space="preserve">-1.00</w:t>
      </w:r>
      <w:r>
        <w:rPr>
          <w:rFonts w:ascii="Times New Roman" w:cs="Times New Roman" w:eastAsia="SimSun" w:hAnsi="Times New Roman"/>
        </w:rPr>
        <w:t xml:space="preserve">），与短回路密度的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</w:rPr>
        <w:t xml:space="preserve">(1/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一致；每个测量值均含噪声贡献，因而是真实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偏差的上界。反相关度分布、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 与三层构型在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下亦均落在噪声内。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正文措辞须留有余地：数值支持不等同于证明。上述三步是论证纲要而非严格证明，宜表述为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"在 (H1)(H2′) 下我们论证并数值验证了闭合的渐近精确性，严格证明留待后续"，不宜以定理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形式陈述。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2.5 群内级联 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C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(</w:t>
      </w:r>
      <w:r>
        <w:rPr>
          <w:rFonts w:ascii="Cambria Math" w:eastAsia="SimSun" w:hAnsi="Cambria Math"/>
          <w:b/>
          <w:bCs/>
          <w:i/>
          <w:iCs/>
          <w:color w:val="1A1A1A"/>
          <w:sz w:val="26"/>
          <w:szCs w:val="26"/>
        </w:rPr>
        <w:t xml:space="preserve">m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,λ,θ)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一个种子在一个群体内造成的感染数并非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，因为群体在整个群内级联期间持续激活。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考虑一个孤立的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元群体、初始一个感染，记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为从"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Times New Roman" w:cs="Times New Roman" w:eastAsia="SimSun" w:hAnsi="Times New Roman"/>
        </w:rPr>
        <w:t xml:space="preserve"> 个感染、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Times New Roman" w:cs="Times New Roman" w:eastAsia="SimSun" w:hAnsi="Times New Roman"/>
        </w:rPr>
        <w:t xml:space="preserve"> 个易感"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出发此后新增感染数的期望，则 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(0,</w:t>
      </w:r>
      <w:r>
        <w:rPr>
          <w:rFonts w:ascii="Cambria Math" w:eastAsia="SimSun" w:hAnsi="Cambria Math"/>
          <w:i/>
          <w:iCs/>
        </w:rPr>
        <w:t xml:space="preserve">s</w:t>
      </w:r>
      <w:r>
        <w:rPr>
          <w:rFonts w:ascii="Cambria Math" w:eastAsia="SimSun" w:hAnsi="Cambria Math"/>
          <w:i w:val="false"/>
          <w:iCs w:val="false"/>
        </w:rPr>
        <w:t xml:space="preserve">)=</w:t>
      </w:r>
      <w:r>
        <w:rPr>
          <w:rFonts w:ascii="Cambria Math" w:eastAsia="SimSun" w:hAnsi="Cambria Math"/>
          <w:i/>
          <w:iCs/>
        </w:rPr>
        <w:t xml:space="preserve">u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,0)=0</w:t>
      </w:r>
      <w:r>
        <w:rPr>
          <w:rFonts w:ascii="Times New Roman" w:cs="Times New Roman" w:eastAsia="SimSun" w:hAnsi="Times New Roman"/>
        </w:rPr>
        <w:t xml:space="preserve">，且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)=(α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)[1+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-1)]+(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)/(α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),   α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=λ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1[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≥θ]</w:t>
      </w:r>
      <w:r>
        <w:rPr>
          <w:rFonts w:ascii="Cambria Math" w:eastAsia="SimSun" w:hAnsi="Cambria Math"/>
          <w:sz w:val="21"/>
          <w:szCs w:val="21"/>
        </w:rPr>
        <w:t xml:space="preserve">	(2.8)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,λ,θ)=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u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(1,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</w:t>
      </w:r>
      <w:r>
        <w:rPr>
          <w:rFonts w:ascii="Cambria Math" w:eastAsia="SimSun" w:hAnsi="Cambria Math"/>
          <w:sz w:val="21"/>
          <w:szCs w:val="21"/>
        </w:rPr>
        <w:t xml:space="preserve">	(2.9)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是一个可精确计算的标量。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=λ/(1+λ)=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，级联消失，回到成对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传递概率；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≥3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&gt;(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</w:t>
      </w:r>
      <w:r>
        <w:rPr>
          <w:rFonts w:ascii="Cambria Math" w:eastAsia="SimSun" w:hAnsi="Cambria Math"/>
          <w:i w:val="false"/>
          <w:iCs w:val="false"/>
        </w:rPr>
        <w:t xml:space="preserve">λ=1</w:t>
      </w:r>
      <w:r>
        <w:rPr>
          <w:rFonts w:ascii="Times New Roman" w:cs="Times New Roman" w:eastAsia="SimSun" w:hAnsi="Times New Roman"/>
        </w:rPr>
        <w:t xml:space="preserve"> 时分别超出 </w:t>
      </w:r>
      <w:r>
        <w:rPr>
          <w:rFonts w:ascii="Cambria Math" w:eastAsia="SimSun" w:hAnsi="Cambria Math"/>
          <w:i w:val="false"/>
          <w:iCs w:val="false"/>
        </w:rPr>
        <w:t xml:space="preserve">11%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22%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31%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=3,4,5</w:t>
      </w:r>
      <w:r>
        <w:rPr>
          <w:rFonts w:ascii="Times New Roman" w:cs="Times New Roman" w:eastAsia="SimSun" w:hAnsi="Times New Roman"/>
        </w:rPr>
        <w:t xml:space="preserve">），并非可忽略的修正。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时单个种子无法激活群体，故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递推 (2.8) 与单群体直接蒙特卡洛在五组参数上一致到 </w:t>
      </w:r>
      <w:r>
        <w:rPr>
          <w:rFonts w:ascii="Cambria Math" w:eastAsia="SimSun" w:hAnsi="Cambria Math"/>
          <w:i w:val="false"/>
          <w:iCs w:val="false"/>
        </w:rPr>
        <w:t xml:space="preserve">3×10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-3</w:t>
      </w:r>
      <w:r>
        <w:rPr>
          <w:rFonts w:ascii="Times New Roman" w:cs="Times New Roman" w:eastAsia="SimSun" w:hAnsi="Times New Roman"/>
        </w:rPr>
        <w:t xml:space="preserve"> 以内。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此处须交代与已有文献的关系，这是本工作新颖性风险最高的一处。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正是经典家庭模型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（households / two levels of mixing）中"户内最终规模"的期望，而下文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的结构正是该系文献中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*</w:t>
      </w:r>
      <w:r>
        <w:rPr>
          <w:rFonts w:ascii="Times New Roman" w:cs="Times New Roman" w:eastAsia="SimSun" w:hAnsi="Times New Roman"/>
        </w:rPr>
        <w:t xml:space="preserve"> =（全局感染数）</w:t>
      </w:r>
      <w:r>
        <w:rPr>
          <w:rFonts w:ascii="Cambria Math" w:eastAsia="SimSun" w:hAnsi="Cambria Math"/>
          <w:i w:val="false"/>
          <w:iCs w:val="false"/>
        </w:rPr>
        <w:t xml:space="preserve">×</w:t>
      </w:r>
      <w:r>
        <w:rPr>
          <w:rFonts w:ascii="Times New Roman" w:cs="Times New Roman" w:eastAsia="SimSun" w:hAnsi="Times New Roman"/>
        </w:rPr>
        <w:t xml:space="preserve">（户内爆发规模）的形式；带网络结构的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重叠版本亦已有人处理。本文与之的区别仅在于三点，且必须在正文中明确写出：其一，群体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不构成划分而是任意重叠，节点在层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中属于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Times New Roman" w:cs="Times New Roman" w:eastAsia="SimSun" w:hAnsi="Times New Roman"/>
        </w:rPr>
        <w:t xml:space="preserve"> 个群体；其二，引入多型层结构与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联合层度分布，阈值因而是矩阵谱半径而非标量；其三，采用群体阈值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的激活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规则。若不主动交代，本工作有被判定为重复的风险。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2.6 爆发阈值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分支过程必须定义在</w:t>
      </w:r>
      <w:r>
        <w:rPr>
          <w:rFonts w:ascii="Times New Roman" w:cs="Times New Roman" w:eastAsia="SimSun" w:hAnsi="Times New Roman"/>
          <w:b/>
          <w:bCs/>
        </w:rPr>
        <w:t xml:space="preserve">群体层面</w:t>
      </w:r>
      <w:r>
        <w:rPr>
          <w:rFonts w:ascii="Times New Roman" w:cs="Times New Roman" w:eastAsia="SimSun" w:hAnsi="Times New Roman"/>
        </w:rPr>
        <w:t xml:space="preserve">：每个新感染节点点燃它的其余各群体，每个被点燃的群体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产出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 个新感染成员，这些成员再点燃各自的其余群体。若改在节点层面朴素地统计"某个体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直接传染了谁"，群内级联的后继会被重复计入。以"感染经由哪一层传来"为型，经由层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感染的节点其层 </w:t>
      </w:r>
      <w:r>
        <w:rPr>
          <w:rFonts w:ascii="Cambria Math" w:eastAsia="SimSun" w:hAnsi="Cambria Math"/>
          <w:i/>
          <w:iCs/>
        </w:rPr>
        <w:t xml:space="preserve">b</w:t>
      </w:r>
      <w:r>
        <w:rPr>
          <w:rFonts w:ascii="Times New Roman" w:cs="Times New Roman" w:eastAsia="SimSun" w:hAnsi="Times New Roman"/>
        </w:rPr>
        <w:t xml:space="preserve"> 群体数的期望为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</w:rPr>
        <w:t xml:space="preserve">⟩/⟨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</w:rPr>
        <w:t xml:space="preserve">⟩-δ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，故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C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)[(⟨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⟩)-δ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 </w:t>
      </w:r>
      <w:r>
        <w:rPr>
          <w:rFonts w:ascii="Cambria Math" w:eastAsia="SimSun" w:hAnsi="Cambria Math"/>
          <w:sz w:val="21"/>
          <w:szCs w:val="21"/>
        </w:rPr>
        <w:t xml:space="preserve">	(2.10)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3（阈值）.</w:t>
      </w:r>
      <w:r>
        <w:rPr>
          <w:rFonts w:ascii="Times New Roman" w:cs="Times New Roman" w:eastAsia="SimSun" w:hAnsi="Times New Roman"/>
        </w:rPr>
        <w:t xml:space="preserve"> 爆发阈值由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确定，其中 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Times New Roman" w:cs="Times New Roman" w:eastAsia="SimSun" w:hAnsi="Times New Roman"/>
        </w:rPr>
        <w:t xml:space="preserve"> 为谱半径。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标量再生数由此升维为矩阵：单层、多层、成对、高阶均为其特例。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时有闭式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ρ=1/2[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+√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)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+4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21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]=1</w:t>
      </w:r>
      <w:r>
        <w:rPr>
          <w:rFonts w:ascii="Cambria Math" w:eastAsia="SimSun" w:hAnsi="Cambria Math"/>
          <w:sz w:val="21"/>
          <w:szCs w:val="21"/>
        </w:rPr>
        <w:t xml:space="preserve">	(2.11)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该结论已由两条不共享代码的路径互证：将 (2.5) 在无病定态作数值 Jacobian、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取最大实部特征值求阈值，与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在五组构型上一致到 </w:t>
      </w:r>
      <w:r>
        <w:rPr>
          <w:rFonts w:ascii="Cambria Math" w:eastAsia="SimSun" w:hAnsi="Cambria Math"/>
          <w:i w:val="false"/>
          <w:iCs w:val="false"/>
        </w:rPr>
        <w:t xml:space="preserve">6×10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-8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其中含成对退化情形的解析值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=1/3</w:t>
      </w:r>
      <w:r>
        <w:rPr>
          <w:rFonts w:ascii="Times New Roman" w:cs="Times New Roman" w:eastAsia="SimSun" w:hAnsi="Times New Roman"/>
        </w:rPr>
        <w:t xml:space="preserve">。若以 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 取代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，该一致性立即消失，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群内级联项正是由此被发现。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正文须写出三条退化检验：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时回到单层超图的已知阈值；全部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(2.10) 回到多层网络 SIR 的已知阈值；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=1,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时回到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⟩/(⟨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⟩-⟨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⟩)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2.7 层间耦合对阈值的作用方向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4.</w:t>
      </w:r>
      <w:r>
        <w:rPr>
          <w:rFonts w:ascii="Times New Roman" w:cs="Times New Roman" w:eastAsia="SimSun" w:hAnsi="Times New Roman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逐元非负，故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)≥</w:t>
      </w:r>
      <w:r>
        <w:rPr>
          <w:rFonts w:ascii="Cambria Math" w:eastAsia="SimSun" w:hAnsi="Cambria Math"/>
          <w:i/>
          <w:iCs/>
        </w:rPr>
        <w:t xml:space="preserve">max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Times New Roman" w:cs="Times New Roman" w:eastAsia="SimSun" w:hAnsi="Times New Roman"/>
        </w:rPr>
        <w:t xml:space="preserve">，而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Times New Roman" w:cs="Times New Roman" w:eastAsia="SimSun" w:hAnsi="Times New Roman"/>
        </w:rPr>
        <w:t xml:space="preserve"> 恰为孤立层 </w:t>
      </w:r>
      <w:r>
        <w:rPr>
          <w:rFonts w:ascii="Cambria Math" w:eastAsia="SimSun" w:hAnsi="Cambria Math"/>
          <w:i/>
          <w:iCs/>
        </w:rPr>
        <w:t xml:space="preserve">a</w:t>
      </w:r>
      <w:r>
        <w:rPr>
          <w:rFonts w:ascii="Times New Roman" w:cs="Times New Roman" w:eastAsia="SimSun" w:hAnsi="Times New Roman"/>
        </w:rPr>
        <w:t xml:space="preserve"> 的分支数。在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/>
          <w:iCs/>
        </w:rPr>
        <w:t xml:space="preserve">w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的共同标度下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Times New Roman" w:cs="Times New Roman" w:eastAsia="SimSun" w:hAnsi="Times New Roman"/>
        </w:rPr>
        <w:t xml:space="preserve"> 关于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单调增），多重超图的阈值因而不高于任一单层的阈值；若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不可约且存在非零非对角元，则严格更低。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证明.</w:t>
      </w:r>
      <w:r>
        <w:rPr>
          <w:rFonts w:ascii="Times New Roman" w:cs="Times New Roman" w:eastAsia="SimSun" w:hAnsi="Times New Roman"/>
        </w:rPr>
        <w:t xml:space="preserve"> 非负矩阵的谱半径不小于其任一对角元；不可约时由 Perron–Frobenius 定理得到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关于矩阵元的严格单调性。</w:t>
      </w:r>
      <w:r>
        <w:rPr>
          <w:rFonts w:ascii="Cambria Math" w:eastAsia="SimSun" w:hAnsi="Cambria Math"/>
          <w:i w:val="false"/>
          <w:iCs w:val="false"/>
        </w:rPr>
        <w:t xml:space="preserve">□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4 给出本工作最具传播力的一条论断：</w:t>
      </w:r>
      <w:r>
        <w:rPr>
          <w:rFonts w:ascii="Times New Roman" w:cs="Times New Roman" w:eastAsia="SimSun" w:hAnsi="Times New Roman"/>
          <w:b/>
          <w:bCs/>
        </w:rPr>
        <w:t xml:space="preserve">两条各自亚临界的弱渠道，合并之后可以超临界。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=3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λ=0.13</w:t>
      </w:r>
      <w:r>
        <w:rPr>
          <w:rFonts w:ascii="Times New Roman" w:cs="Times New Roman" w:eastAsia="SimSun" w:hAnsi="Times New Roman"/>
        </w:rPr>
        <w:t xml:space="preserve"> 处，两层各自的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aa</w:t>
      </w:r>
      <w:r>
        <w:rPr>
          <w:rFonts w:ascii="Cambria Math" w:eastAsia="SimSun" w:hAnsi="Cambria Math"/>
          <w:i w:val="false"/>
          <w:iCs w:val="false"/>
        </w:rPr>
        <w:t xml:space="preserve">=0.386</w:t>
      </w:r>
      <w:r>
        <w:rPr>
          <w:rFonts w:ascii="Times New Roman" w:cs="Times New Roman" w:eastAsia="SimSun" w:hAnsi="Times New Roman"/>
        </w:rPr>
        <w:t xml:space="preserve">，处于深度亚临界，而合并后 </w:t>
      </w:r>
      <w:r>
        <w:rPr>
          <w:rFonts w:ascii="Cambria Math" w:eastAsia="SimSun" w:hAnsi="Cambria Math"/>
          <w:i w:val="false"/>
          <w:iCs w:val="false"/>
        </w:rPr>
        <w:t xml:space="preserve">ρ=1.013</w:t>
      </w:r>
      <w:r>
        <w:rPr>
          <w:rFonts w:ascii="Times New Roman" w:cs="Times New Roman" w:eastAsia="SimSun" w:hAnsi="Times New Roman"/>
        </w:rPr>
        <w:t xml:space="preserve">，已越过临界。发生条件由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12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21</w:t>
      </w:r>
      <w:r>
        <w:rPr>
          <w:rFonts w:ascii="Times New Roman" w:cs="Times New Roman" w:eastAsia="SimSun" w:hAnsi="Times New Roman"/>
        </w:rPr>
        <w:t xml:space="preserve"> 显式给出，可绘成相图。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2.8 与度均场的比较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度均场取群体激活概率为系综平均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=1-(1-φ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m_a-1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为层 </w:t>
      </w:r>
      <w:r>
        <w:rPr>
          <w:rFonts w:ascii="Cambria Math" w:eastAsia="SimSun" w:hAnsi="Cambria Math"/>
          <w:i/>
          <w:iCs/>
        </w:rPr>
        <w:t xml:space="preserve">a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成员槽被感染节点占据的比例，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=-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,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̇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s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Σ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β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Θ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-μ  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i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k</w:t>
      </w:r>
      <w:r>
        <w:rPr>
          <w:rFonts w:ascii="Cambria Math" w:eastAsia="SimSun" w:hAnsi="Cambria Math"/>
          <w:sz w:val="21"/>
          <w:szCs w:val="21"/>
        </w:rPr>
        <w:t xml:space="preserve">	(2.12)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线性化给出</w:t>
      </w:r>
    </w:p>
    <w:p>
      <w:pPr>
        <w:tabs>
          <w:tab w:val="center" w:pos="4680"/>
          <w:tab w:val="right" w:pos="9360"/>
        </w:tabs>
        <w:spacing w:after="180" w:before="180" w:line="300"/>
        <w:jc w:val="left"/>
      </w:pPr>
      <w:r>
        <w:rPr>
          <w:rFonts w:ascii="Cambria Math" w:eastAsia="SimSun" w:hAnsi="Cambria Math"/>
        </w:rPr>
        <w:t xml:space="preserve">	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N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ab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=(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m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-1) λ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 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(b)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⟩)/(⟨</w:t>
      </w:r>
      <w:r>
        <w:rPr>
          <w:rFonts w:ascii="Cambria Math" w:eastAsia="SimSun" w:hAnsi="Cambria Math"/>
          <w:i/>
          <w:iCs/>
          <w:sz w:val="21"/>
          <w:szCs w:val="21"/>
        </w:rPr>
        <w:t xml:space="preserve">k</w:t>
      </w:r>
      <w:r>
        <w:rPr>
          <w:rFonts w:ascii="Cambria Math" w:eastAsia="SimSun" w:hAnsi="Cambria Math"/>
          <w:i w:val="false"/>
          <w:iCs w:val="false"/>
          <w:sz w:val="21"/>
          <w:szCs w:val="21"/>
          <w:vertAlign w:val="superscript"/>
        </w:rPr>
        <w:t xml:space="preserve">(a)</w:t>
      </w:r>
      <w:r>
        <w:rPr>
          <w:rFonts w:ascii="Cambria Math" w:eastAsia="SimSun" w:hAnsi="Cambria Math"/>
          <w:i w:val="false"/>
          <w:iCs w:val="false"/>
          <w:sz w:val="21"/>
          <w:szCs w:val="21"/>
        </w:rPr>
        <w:t xml:space="preserve">⟩)</w:t>
      </w:r>
      <w:r>
        <w:rPr>
          <w:rFonts w:ascii="Cambria Math" w:eastAsia="SimSun" w:hAnsi="Cambria Math"/>
          <w:sz w:val="21"/>
          <w:szCs w:val="21"/>
        </w:rPr>
        <w:t xml:space="preserve">	(2.13)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  <w:b/>
          <w:bCs/>
        </w:rPr>
        <w:t xml:space="preserve">命题 5（均场的三处偏差）.</w:t>
      </w:r>
      <w:r>
        <w:rPr>
          <w:rFonts w:ascii="Times New Roman" w:cs="Times New Roman" w:eastAsia="SimSun" w:hAnsi="Times New Roman"/>
        </w:rPr>
        <w:t xml:space="preserve"> (2.13) 与 (2.10) 的差别恰为三项，且方向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不同：其一，以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Times New Roman" w:cs="Times New Roman" w:eastAsia="SimSun" w:hAnsi="Times New Roman"/>
        </w:rPr>
        <w:t xml:space="preserve"> 取代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=λ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/(1+λ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，即把整个感染期的传递概率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当作 </w:t>
      </w:r>
      <w:r>
        <w:rPr>
          <w:rFonts w:ascii="Cambria Math" w:eastAsia="SimSun" w:hAnsi="Cambria Math"/>
          <w:i w:val="false"/>
          <w:iCs w:val="false"/>
        </w:rPr>
        <w:t xml:space="preserve">β/μ</w:t>
      </w:r>
      <w:r>
        <w:rPr>
          <w:rFonts w:ascii="Times New Roman" w:cs="Times New Roman" w:eastAsia="SimSun" w:hAnsi="Times New Roman"/>
        </w:rPr>
        <w:t xml:space="preserve">，忽略"群体一旦向某成员传递即对其用尽"，导致高估；其二，缺少余度相减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-δ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，即允许沿来路群体折返，同样导致高估；其三，缺少级联因子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/[(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-1)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b</w:t>
      </w:r>
      <w:r>
        <w:rPr>
          <w:rFonts w:ascii="Cambria Math" w:eastAsia="SimSun" w:hAnsi="Cambria Math"/>
          <w:i w:val="false"/>
          <w:iCs w:val="false"/>
        </w:rPr>
        <w:t xml:space="preserve">]&gt;1</w:t>
      </w:r>
      <w:r>
        <w:rPr>
          <w:rFonts w:ascii="Times New Roman" w:cs="Times New Roman" w:eastAsia="SimSun" w:hAnsi="Times New Roman"/>
        </w:rPr>
        <w:t xml:space="preserve">，即线性化时把各成员的贡献独立相加、看不见群内级联对激活时长的延长，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导致低估。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前两项在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</w:t>
      </w:r>
      <w:r>
        <w:rPr>
          <w:rFonts w:ascii="Times New Roman" w:cs="Times New Roman" w:eastAsia="SimSun" w:hAnsi="Times New Roman"/>
        </w:rPr>
        <w:t xml:space="preserve"> 时即退化为有向工作中"均场丢失分母 </w:t>
      </w:r>
      <w:r>
        <w:rPr>
          <w:rFonts w:ascii="Cambria Math" w:eastAsia="SimSun" w:hAnsi="Cambria Math"/>
          <w:i w:val="false"/>
          <w:iCs w:val="false"/>
        </w:rPr>
        <w:t xml:space="preserve">-1</w:t>
      </w:r>
      <w:r>
        <w:rPr>
          <w:rFonts w:ascii="Times New Roman" w:cs="Times New Roman" w:eastAsia="SimSun" w:hAnsi="Times New Roman"/>
        </w:rPr>
        <w:t xml:space="preserve">"的同一现象，第三项则为高阶所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特有，且作用方向相反。均场矩阵与均场 ODE 的 Jacobian 已验证一致到 </w:t>
      </w:r>
      <w:r>
        <w:rPr>
          <w:rFonts w:ascii="Cambria Math" w:eastAsia="SimSun" w:hAnsi="Cambria Math"/>
          <w:i w:val="false"/>
          <w:iCs w:val="false"/>
        </w:rPr>
        <w:t xml:space="preserve">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-7</w:t>
      </w:r>
      <w:r>
        <w:rPr>
          <w:rFonts w:ascii="Times New Roman" w:cs="Times New Roman" w:eastAsia="SimSun" w:hAnsi="Times New Roman"/>
        </w:rPr>
        <w:t xml:space="preserve">。净效应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实测（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∈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3,5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1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2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）为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MF</w:t>
      </w:r>
      <w:r>
        <w:rPr>
          <w:rFonts w:ascii="Cambria Math" w:eastAsia="SimSun" w:hAnsi="Cambria Math"/>
          <w:i w:val="false"/>
          <w:iCs w:val="false"/>
        </w:rPr>
        <w:t xml:space="preserve">/λ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=0.76,0.85,0.88,0.90,0.91</w:t>
      </w:r>
      <w:r>
        <w:rPr>
          <w:rFonts w:ascii="Times New Roman" w:cs="Times New Roman" w:eastAsia="SimSun" w:hAnsi="Times New Roman"/>
        </w:rPr>
        <w:t xml:space="preserve">（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=2,3,4,6,8</w:t>
      </w:r>
      <w:r>
        <w:rPr>
          <w:rFonts w:ascii="Times New Roman" w:cs="Times New Roman" w:eastAsia="SimSun" w:hAnsi="Times New Roman"/>
        </w:rPr>
        <w:t xml:space="preserve">）：前两项占优，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均场始终低估阈值，差距随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Times New Roman" w:cs="Times New Roman" w:eastAsia="SimSun" w:hAnsi="Times New Roman"/>
        </w:rPr>
        <w:t xml:space="preserve"> 单调缩小而不变号。是否存在使净效应变号的参数区域尚属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开放问题，不应作为已知结论陈述。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2.9 群体阈值 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θ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  <w:vertAlign w:val="subscript"/>
        </w:rPr>
        <w:t xml:space="preserve">a</w:t>
      </w:r>
      <w:r>
        <w:rPr>
          <w:rFonts w:ascii="Cambria Math" w:eastAsia="SimSun" w:hAnsi="Cambria Math"/>
          <w:b/>
          <w:bCs/>
          <w:i w:val="false"/>
          <w:iCs w:val="false"/>
          <w:color w:val="1A1A1A"/>
          <w:sz w:val="26"/>
          <w:szCs w:val="26"/>
        </w:rPr>
        <w:t xml:space="preserve">≥2</w:t>
      </w: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 的层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(2.5) 中只有指示函数依赖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，故方程组对任意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Times New Roman" w:cs="Times New Roman" w:eastAsia="SimSun" w:hAnsi="Times New Roman"/>
        </w:rPr>
        <w:t xml:space="preserve"> 形式不变。但单个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种子无法激活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 的群体，(2.8) 给出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，该层在 </w:t>
      </w:r>
      <w:r>
        <w:rPr>
          <w:rFonts w:ascii="Cambria Math" w:eastAsia="SimSun" w:hAnsi="Cambria Math"/>
          <w:i/>
          <w:iCs/>
        </w:rPr>
        <w:t xml:space="preserve">N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中整列为零。若所有层均有 </w:t>
      </w:r>
      <w:r>
        <w:rPr>
          <w:rFonts w:ascii="Cambria Math" w:eastAsia="SimSun" w:hAnsi="Cambria Math"/>
          <w:i w:val="false"/>
          <w:iCs w:val="false"/>
        </w:rPr>
        <w:t xml:space="preserve">θ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≥2</w:t>
      </w:r>
      <w:r>
        <w:rPr>
          <w:rFonts w:ascii="Times New Roman" w:cs="Times New Roman" w:eastAsia="SimSun" w:hAnsi="Times New Roman"/>
        </w:rPr>
        <w:t xml:space="preserve">，则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=0</w:t>
      </w:r>
      <w:r>
        <w:rPr>
          <w:rFonts w:ascii="Times New Roman" w:cs="Times New Roman" w:eastAsia="SimSun" w:hAnsi="Times New Roman"/>
        </w:rPr>
        <w:t xml:space="preserve">，无线性失稳，模型转入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型渗流；若仅部分层如此，则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块三角化，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Times New Roman" w:cs="Times New Roman" w:eastAsia="SimSun" w:hAnsi="Times New Roman"/>
        </w:rPr>
        <w:t xml:space="preserve"> 只由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的子矩阵决定。由此得到一条多层特有的结论：**一条高门槛渠道不改变爆发与否，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只改变爆发规模。**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该结论已定量验证。在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=</w:t>
      </w:r>
      <w:r>
        <w:rPr>
          <w:rFonts w:ascii="Cambria Math" w:eastAsia="SimSun" w:hAnsi="Cambria Math"/>
          <w:i w:val="false"/>
          <w:iCs w:val="false"/>
        </w:rPr>
        <w:t xml:space="preserve">{</w:t>
      </w:r>
      <w:r>
        <w:rPr>
          <w:rFonts w:ascii="Cambria Math" w:eastAsia="SimSun" w:hAnsi="Cambria Math"/>
          <w:i w:val="false"/>
          <w:iCs w:val="false"/>
        </w:rPr>
        <w:t xml:space="preserve">(2,2),(3,3)</w:t>
      </w:r>
      <w:r>
        <w:rPr>
          <w:rFonts w:ascii="Cambria Math" w:eastAsia="SimSun" w:hAnsi="Cambria Math"/>
          <w:i w:val="false"/>
          <w:iCs w:val="false"/>
        </w:rPr>
        <w:t xml:space="preserve">}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=(3,4)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θ=(1,2)</w:t>
      </w:r>
      <w:r>
        <w:rPr>
          <w:rFonts w:ascii="Times New Roman" w:cs="Times New Roman" w:eastAsia="SimSun" w:hAnsi="Times New Roman"/>
        </w:rPr>
        <w:t xml:space="preserve"> 下，加入 </w:t>
      </w:r>
      <w:r>
        <w:rPr>
          <w:rFonts w:ascii="Cambria Math" w:eastAsia="SimSun" w:hAnsi="Cambria Math"/>
          <w:i w:val="false"/>
          <w:iCs w:val="false"/>
        </w:rPr>
        <w:t xml:space="preserve">θ=2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的层后阈值由 </w:t>
      </w:r>
      <w:r>
        <w:rPr>
          <w:rFonts w:ascii="Cambria Math" w:eastAsia="SimSun" w:hAnsi="Cambria Math"/>
          <w:i w:val="false"/>
          <w:iCs w:val="false"/>
        </w:rPr>
        <w:t xml:space="preserve">0.410619</w:t>
      </w:r>
      <w:r>
        <w:rPr>
          <w:rFonts w:ascii="Times New Roman" w:cs="Times New Roman" w:eastAsia="SimSun" w:hAnsi="Times New Roman"/>
        </w:rPr>
        <w:t xml:space="preserve"> 变为 </w:t>
      </w:r>
      <w:r>
        <w:rPr>
          <w:rFonts w:ascii="Cambria Math" w:eastAsia="SimSun" w:hAnsi="Cambria Math"/>
          <w:i w:val="false"/>
          <w:iCs w:val="false"/>
        </w:rPr>
        <w:t xml:space="preserve">0.410616</w:t>
      </w:r>
      <w:r>
        <w:rPr>
          <w:rFonts w:ascii="Times New Roman" w:cs="Times New Roman" w:eastAsia="SimSun" w:hAnsi="Times New Roman"/>
        </w:rPr>
        <w:t xml:space="preserve">，相对移动 </w:t>
      </w:r>
      <w:r>
        <w:rPr>
          <w:rFonts w:ascii="Cambria Math" w:eastAsia="SimSun" w:hAnsi="Cambria Math"/>
          <w:i w:val="false"/>
          <w:iCs w:val="false"/>
        </w:rPr>
        <w:t xml:space="preserve">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-6</w:t>
      </w:r>
      <w:r>
        <w:rPr>
          <w:rFonts w:ascii="Times New Roman" w:cs="Times New Roman" w:eastAsia="SimSun" w:hAnsi="Times New Roman"/>
        </w:rPr>
        <w:t xml:space="preserve">，在二分精度内不变；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而终态规模在 </w:t>
      </w:r>
      <w:r>
        <w:rPr>
          <w:rFonts w:ascii="Cambria Math" w:eastAsia="SimSun" w:hAnsi="Cambria Math"/>
          <w:i w:val="false"/>
          <w:iCs w:val="false"/>
        </w:rPr>
        <w:t xml:space="preserve">λ=0.45,0.70,1.00</w:t>
      </w:r>
      <w:r>
        <w:rPr>
          <w:rFonts w:ascii="Times New Roman" w:cs="Times New Roman" w:eastAsia="SimSun" w:hAnsi="Times New Roman"/>
        </w:rPr>
        <w:t xml:space="preserve"> 处分别被放大 </w:t>
      </w:r>
      <w:r>
        <w:rPr>
          <w:rFonts w:ascii="Cambria Math" w:eastAsia="SimSun" w:hAnsi="Cambria Math"/>
          <w:i w:val="false"/>
          <w:iCs w:val="false"/>
        </w:rPr>
        <w:t xml:space="preserve">1.31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1.21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1.09</w:t>
      </w:r>
      <w:r>
        <w:rPr>
          <w:rFonts w:ascii="Times New Roman" w:cs="Times New Roman" w:eastAsia="SimSun" w:hAnsi="Times New Roman"/>
        </w:rPr>
        <w:t xml:space="preserve"> 倍。放大效应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在阈值上方最强、随超临界程度加深而衰减，这一非单调形状值得单列一小节并作图。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2.10 三处已知空缺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下列三项须在定稿前补足或明确声明留待后续，否则审稿意见必将述及。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其一为</w:t>
      </w:r>
      <w:r>
        <w:rPr>
          <w:rFonts w:ascii="Times New Roman" w:cs="Times New Roman" w:eastAsia="SimSun" w:hAnsi="Times New Roman"/>
          <w:b/>
          <w:bCs/>
        </w:rPr>
        <w:t xml:space="preserve">层内群体重叠</w:t>
      </w:r>
      <w:r>
        <w:rPr>
          <w:rFonts w:ascii="Times New Roman" w:cs="Times New Roman" w:eastAsia="SimSun" w:hAnsi="Times New Roman"/>
        </w:rPr>
        <w:t xml:space="preserve">。全文只讨论层间重叠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，但同一层内两个群体共享多个节点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同样破坏 (H1)，至少应给出一项测量与一段讨论。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其二为</w:t>
      </w:r>
      <w:r>
        <w:rPr>
          <w:rFonts w:ascii="Times New Roman" w:cs="Times New Roman" w:eastAsia="SimSun" w:hAnsi="Times New Roman"/>
          <w:b/>
          <w:bCs/>
        </w:rPr>
        <w:t xml:space="preserve">终态理论</w:t>
      </w:r>
      <w:r>
        <w:rPr>
          <w:rFonts w:ascii="Times New Roman" w:cs="Times New Roman" w:eastAsia="SimSun" w:hAnsi="Times New Roman"/>
        </w:rPr>
        <w:t xml:space="preserve">。目前只做到阈值。家庭模型已有成熟的最终规模自洽方程，且所需的是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群内最终规模的整个分布而非仅其均值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其三为</w:t>
      </w:r>
      <w:r>
        <w:rPr>
          <w:rFonts w:ascii="Times New Roman" w:cs="Times New Roman" w:eastAsia="SimSun" w:hAnsi="Times New Roman"/>
          <w:b/>
          <w:bCs/>
        </w:rPr>
        <w:t xml:space="preserve">爆发概率</w:t>
      </w:r>
      <w:r>
        <w:rPr>
          <w:rFonts w:ascii="Times New Roman" w:cs="Times New Roman" w:eastAsia="SimSun" w:hAnsi="Times New Roman"/>
        </w:rPr>
        <w:t xml:space="preserve">。阈值由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 决定且与种子无关，而爆发概率由多型分支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过程的消亡不动点给出、依赖种子的型分布，与终态规模是两个不同的量。在有向超图的工作中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正是这一区分给出了最具信息量的序参量，本模型同样需要。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3. 计算方案与预期结果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本节列出为支撑第 2 节各结论所需的计算。计算分为四组：3.1 确立理论自身的可信度，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3.2 给出本工作的物理结果，3.3 处理命题 1 失效的推广情形，3.4 检验理论在真实结构上的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适用边界。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3.1 理论的自洽性与精度校验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在引入任何物理结论之前，须先确立理论自身的可信度。校验分三个层次：方程组的内部自洽、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阈值公式的独立复核、以及闭合相对精确过程的精度标度。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校验项目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预期结果</w:t>
            </w:r>
          </w:p>
        </w:tc>
        <w:tc>
          <w:tcPr>
            <w:tcW w:type="dxa" w:w="312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当前状态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求和规则与恒等式 (2.7)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方程组自洽，残差纯属积分误差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(2.5) 的数值 Jacobian 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 比对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两条不共享代码的路径互证阈值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已完成，一致到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6×10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-8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的递推与单群体蒙特卡洛比对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级联量本身无误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已完成，一致到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3×10</w:t>
            </w:r>
            <w:r>
              <w:rPr>
                <w:rFonts w:ascii="Cambria Math" w:eastAsia="SimSun" w:hAnsi="Cambria Math"/>
                <w:i w:val="false"/>
                <w:iCs w:val="false"/>
                <w:vertAlign w:val="superscript"/>
              </w:rPr>
              <w:t xml:space="preserve">-3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闭合与精确仿真的规模标度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1：闭合偏差随 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Times New Roman" w:cs="Times New Roman" w:eastAsia="SimSun" w:hAnsi="Times New Roman"/>
              </w:rPr>
              <w:t xml:space="preserve"> 趋零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已完成，指数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-0.92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均场与精确仿真的同一标度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1 的对照：均场趋于非零平台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由亚临界终态外推测定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2：与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 的独立比对，给出偏离的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Times New Roman" w:cs="Times New Roman" w:eastAsia="SimSun" w:hAnsi="Times New Roman"/>
              </w:rPr>
              <w:t xml:space="preserve"> 数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逐项关闭均场的三处偏差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3：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,λ)</w:t>
            </w:r>
            <w:r>
              <w:rPr>
                <w:rFonts w:ascii="Times New Roman" w:cs="Times New Roman" w:eastAsia="SimSun" w:hAnsi="Times New Roman"/>
              </w:rPr>
              <w:t xml:space="preserve"> 平面上净偏差的符号与量级</w:t>
            </w:r>
          </w:p>
        </w:tc>
        <w:tc>
          <w:tcPr>
            <w:tcW w:type="dxa" w:w="312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规模标度的报告须遵守两条规范。其一，每个数据点必须同时给出蒙特卡洛噪声底，否则"误差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随规模重新上升"一类的假象无法与真实的闭合失效相区分；本工作的初次测量正是在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处出现过这样的假上升，补充噪声底重跑后方确认其成因为运行次数不足。其二，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Times New Roman" w:cs="Times New Roman" w:eastAsia="SimSun" w:hAnsi="Times New Roman"/>
        </w:rPr>
        <w:t xml:space="preserve"> 的下限须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按最大的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Times New Roman" w:cs="Times New Roman" w:eastAsia="SimSun" w:hAnsi="Times New Roman"/>
        </w:rPr>
        <w:t xml:space="preserve"> 选取：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=(3,5)</w:t>
      </w:r>
      <w:r>
        <w:rPr>
          <w:rFonts w:ascii="Times New Roman" w:cs="Times New Roman" w:eastAsia="SimSun" w:hAnsi="Times New Roman"/>
        </w:rPr>
        <w:t xml:space="preserve"> 的构型在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=4000</w:t>
      </w:r>
      <w:r>
        <w:rPr>
          <w:rFonts w:ascii="Times New Roman" w:cs="Times New Roman" w:eastAsia="SimSun" w:hAnsi="Times New Roman"/>
        </w:rPr>
        <w:t xml:space="preserve"> 处偏差仍高出噪声 </w:t>
      </w:r>
      <w:r>
        <w:rPr>
          <w:rFonts w:ascii="Cambria Math" w:eastAsia="SimSun" w:hAnsi="Cambria Math"/>
          <w:i w:val="false"/>
          <w:iCs w:val="false"/>
        </w:rPr>
        <w:t xml:space="preserve">2.7</w:t>
      </w:r>
      <w:r>
        <w:rPr>
          <w:rFonts w:ascii="Times New Roman" w:cs="Times New Roman" w:eastAsia="SimSun" w:hAnsi="Times New Roman"/>
        </w:rPr>
        <w:t xml:space="preserve"> 倍，至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=8000</w:t>
      </w:r>
      <w:r>
        <w:rPr>
          <w:rFonts w:ascii="Times New Roman" w:cs="Times New Roman" w:eastAsia="SimSun" w:hAnsi="Times New Roman"/>
        </w:rPr>
        <w:t xml:space="preserve"> 才落入噪声，因为群体越大，同样规模下短回路越密。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阈值的测量协议须注意一处易错点。亚临界簇的平均总规模为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T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I</w:t>
      </w:r>
      <w:r>
        <w:rPr>
          <w:rFonts w:ascii="Cambria Math" w:eastAsia="SimSun" w:hAnsi="Cambria Math"/>
          <w:i w:val="false"/>
          <w:iCs w:val="false"/>
        </w:rPr>
        <w:t xml:space="preserve">-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为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种子的型分布；不可写成 </w:t>
      </w:r>
      <w:r>
        <w:rPr>
          <w:rFonts w:ascii="Cambria Math" w:eastAsia="SimSun" w:hAnsi="Cambria Math"/>
          <w:i w:val="false"/>
          <w:iCs w:val="false"/>
        </w:rPr>
        <w:t xml:space="preserve">1/(1-ρ)</w:t>
      </w:r>
      <w:r>
        <w:rPr>
          <w:rFonts w:ascii="Times New Roman" w:cs="Times New Roman" w:eastAsia="SimSun" w:hAnsi="Times New Roman"/>
        </w:rPr>
        <w:t xml:space="preserve">，后者仅在 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=1</w:t>
      </w:r>
      <w:r>
        <w:rPr>
          <w:rFonts w:ascii="Times New Roman" w:cs="Times New Roman" w:eastAsia="SimSun" w:hAnsi="Times New Roman"/>
        </w:rPr>
        <w:t xml:space="preserve"> 或 </w:t>
      </w:r>
      <w:r>
        <w:rPr>
          <w:rFonts w:ascii="Cambria Math" w:eastAsia="SimSun" w:hAnsi="Cambria Math"/>
          <w:i/>
          <w:iCs/>
        </w:rPr>
        <w:t xml:space="preserve">v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0</w:t>
      </w:r>
      <w:r>
        <w:rPr>
          <w:rFonts w:ascii="Times New Roman" w:cs="Times New Roman" w:eastAsia="SimSun" w:hAnsi="Times New Roman"/>
        </w:rPr>
        <w:t xml:space="preserve"> 恰为 Perron 向量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时成立。可用的性质是它在 </w:t>
      </w:r>
      <w:r>
        <w:rPr>
          <w:rFonts w:ascii="Cambria Math" w:eastAsia="SimSun" w:hAnsi="Cambria Math"/>
          <w:i w:val="false"/>
          <w:iCs w:val="false"/>
        </w:rPr>
        <w:t xml:space="preserve">ρ→1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</w:t>
      </w:r>
      <w:r>
        <w:rPr>
          <w:rFonts w:ascii="Times New Roman" w:cs="Times New Roman" w:eastAsia="SimSun" w:hAnsi="Times New Roman"/>
        </w:rPr>
        <w:t xml:space="preserve"> 时按 </w:t>
      </w:r>
      <w:r>
        <w:rPr>
          <w:rFonts w:ascii="Cambria Math" w:eastAsia="SimSun" w:hAnsi="Cambria Math"/>
          <w:i w:val="false"/>
          <w:iCs w:val="false"/>
        </w:rPr>
        <w:t xml:space="preserve">(1-ρ)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-1</w:t>
      </w:r>
      <w:r>
        <w:rPr>
          <w:rFonts w:ascii="Times New Roman" w:cs="Times New Roman" w:eastAsia="SimSun" w:hAnsi="Times New Roman"/>
        </w:rPr>
        <w:t xml:space="preserve"> 发散，故 </w:t>
      </w:r>
      <w:r>
        <w:rPr>
          <w:rFonts w:ascii="Cambria Math" w:eastAsia="SimSun" w:hAnsi="Cambria Math"/>
          <w:i w:val="false"/>
          <w:iCs w:val="false"/>
        </w:rPr>
        <w:t xml:space="preserve">ε/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</w:rPr>
        <w:t xml:space="preserve">(∞)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随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Times New Roman" w:cs="Times New Roman" w:eastAsia="SimSun" w:hAnsi="Times New Roman"/>
        </w:rPr>
        <w:t xml:space="preserve"> 线性趋零，其零点即 </w:t>
      </w:r>
      <w:r>
        <w:rPr>
          <w:rFonts w:ascii="Cambria Math" w:eastAsia="SimSun" w:hAnsi="Cambria Math"/>
          <w:i w:val="false"/>
          <w:iCs w:val="false"/>
        </w:rPr>
        <w:t xml:space="preserve">λ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c</w:t>
      </w:r>
      <w:r>
        <w:rPr>
          <w:rFonts w:ascii="Times New Roman" w:cs="Times New Roman" w:eastAsia="SimSun" w:hAnsi="Times New Roman"/>
        </w:rPr>
        <w:t xml:space="preserve">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若以方程组自身的终态二分求阈值，积分窗口会系统性抬高结果：阈值邻域的增长率趋于零，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有限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内尚未展开即被判为未爆发。四组构型在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Cambria Math" w:eastAsia="SimSun" w:hAnsi="Cambria Math"/>
          <w:i w:val="false"/>
          <w:iCs w:val="false"/>
        </w:rPr>
        <w:t xml:space="preserve">=400</w:t>
      </w:r>
      <w:r>
        <w:rPr>
          <w:rFonts w:ascii="Times New Roman" w:cs="Times New Roman" w:eastAsia="SimSun" w:hAnsi="Times New Roman"/>
        </w:rPr>
        <w:t xml:space="preserve"> 下一致地比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高 </w:t>
      </w:r>
      <w:r>
        <w:rPr>
          <w:rFonts w:ascii="Cambria Math" w:eastAsia="SimSun" w:hAnsi="Cambria Math"/>
          <w:i w:val="false"/>
          <w:iCs w:val="false"/>
        </w:rPr>
        <w:t xml:space="preserve">2.5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2.6%</w:t>
      </w:r>
      <w:r>
        <w:rPr>
          <w:rFonts w:ascii="Times New Roman" w:cs="Times New Roman" w:eastAsia="SimSun" w:hAnsi="Times New Roman"/>
        </w:rPr>
        <w:t xml:space="preserve">，该偏差已确认为积分窗口效应——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每加倍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偏差减半（</w:t>
      </w:r>
      <w:r>
        <w:rPr>
          <w:rFonts w:ascii="Cambria Math" w:eastAsia="SimSun" w:hAnsi="Cambria Math"/>
          <w:i w:val="false"/>
          <w:iCs w:val="false"/>
        </w:rPr>
        <w:t xml:space="preserve">11.8%→5.5%→2.6%→1.2%→0.55%</w:t>
      </w:r>
      <w:r>
        <w:rPr>
          <w:rFonts w:ascii="Times New Roman" w:cs="Times New Roman" w:eastAsia="SimSun" w:hAnsi="Times New Roman"/>
        </w:rPr>
        <w:t xml:space="preserve">，比值 </w:t>
      </w:r>
      <w:r>
        <w:rPr>
          <w:rFonts w:ascii="Cambria Math" w:eastAsia="SimSun" w:hAnsi="Cambria Math"/>
          <w:i w:val="false"/>
          <w:iCs w:val="false"/>
        </w:rPr>
        <w:t xml:space="preserve">2.14</w:t>
      </w:r>
      <w:r>
        <w:rPr>
          <w:rFonts w:ascii="Times New Roman" w:cs="Times New Roman" w:eastAsia="SimSun" w:hAnsi="Times New Roman"/>
        </w:rPr>
        <w:t xml:space="preserve">–</w:t>
      </w:r>
      <w:r>
        <w:rPr>
          <w:rFonts w:ascii="Cambria Math" w:eastAsia="SimSun" w:hAnsi="Cambria Math"/>
          <w:i w:val="false"/>
          <w:iCs w:val="false"/>
        </w:rPr>
        <w:t xml:space="preserve">2.17</w:t>
      </w:r>
      <w:r>
        <w:rPr>
          <w:rFonts w:ascii="Times New Roman" w:cs="Times New Roman" w:eastAsia="SimSun" w:hAnsi="Times New Roman"/>
        </w:rPr>
        <w:t xml:space="preserve">），即按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1/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衰减，Richardson 外推得 </w:t>
      </w:r>
      <w:r>
        <w:rPr>
          <w:rFonts w:ascii="Cambria Math" w:eastAsia="SimSun" w:hAnsi="Cambria Math"/>
          <w:i w:val="false"/>
          <w:iCs w:val="false"/>
        </w:rPr>
        <w:t xml:space="preserve">0.082231</w:t>
      </w:r>
      <w:r>
        <w:rPr>
          <w:rFonts w:ascii="Times New Roman" w:cs="Times New Roman" w:eastAsia="SimSun" w:hAnsi="Times New Roman"/>
        </w:rPr>
        <w:t xml:space="preserve">，与预言值 </w:t>
      </w:r>
      <w:r>
        <w:rPr>
          <w:rFonts w:ascii="Cambria Math" w:eastAsia="SimSun" w:hAnsi="Cambria Math"/>
          <w:i w:val="false"/>
          <w:iCs w:val="false"/>
        </w:rPr>
        <w:t xml:space="preserve">0.082308</w:t>
      </w:r>
      <w:r>
        <w:rPr>
          <w:rFonts w:ascii="Times New Roman" w:cs="Times New Roman" w:eastAsia="SimSun" w:hAnsi="Times New Roman"/>
        </w:rPr>
        <w:t xml:space="preserve"> 的相对差为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 w:val="false"/>
          <w:iCs w:val="false"/>
        </w:rPr>
        <w:t xml:space="preserve">9×10</w:t>
      </w:r>
      <w:r>
        <w:rPr>
          <w:rFonts w:ascii="Cambria Math" w:eastAsia="SimSun" w:hAnsi="Cambria Math"/>
          <w:i w:val="false"/>
          <w:iCs w:val="false"/>
          <w:vertAlign w:val="superscript"/>
        </w:rPr>
        <w:t xml:space="preserve">-4</w:t>
      </w:r>
      <w:r>
        <w:rPr>
          <w:rFonts w:ascii="Times New Roman" w:cs="Times New Roman" w:eastAsia="SimSun" w:hAnsi="Times New Roman"/>
        </w:rPr>
        <w:t xml:space="preserve">。非线性闭合自身的阈值确实收敛到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。正文若采用此种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二分，须附 </w:t>
      </w:r>
      <w:r>
        <w:rPr>
          <w:rFonts w:ascii="Cambria Math" w:eastAsia="SimSun" w:hAnsi="Cambria Math"/>
          <w:i/>
          <w:iCs/>
        </w:rPr>
        <w:t xml:space="preserve">t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max</w:t>
      </w:r>
      <w:r>
        <w:rPr>
          <w:rFonts w:ascii="Times New Roman" w:cs="Times New Roman" w:eastAsia="SimSun" w:hAnsi="Times New Roman"/>
        </w:rPr>
        <w:t xml:space="preserve"> 的收敛表。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3.2 结构参数扫描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本组计算给出本工作的物理结果。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扫描对象</w:t>
            </w:r>
          </w:p>
        </w:tc>
        <w:tc>
          <w:tcPr>
            <w:tcW w:type="dxa" w:w="468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预期结果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沿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Times New Roman" w:cs="Times New Roman" w:eastAsia="SimSun" w:hAnsi="Times New Roman"/>
              </w:rPr>
              <w:t xml:space="preserve"> 扫描，理论与仿真对照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4：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，层间参与相关如何移动阈值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在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(λ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2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</w:t>
            </w:r>
            <w:r>
              <w:rPr>
                <w:rFonts w:ascii="Times New Roman" w:cs="Times New Roman" w:eastAsia="SimSun" w:hAnsi="Times New Roman"/>
              </w:rPr>
              <w:t xml:space="preserve"> 平面绘制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5（核心结果）：协同区相图，界定两条弱渠道合并后超临界的参数范围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固定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Σ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 </w:t>
            </w:r>
            <w:r>
              <w:rPr>
                <w:rFonts w:ascii="Cambria Math" w:eastAsia="SimSun" w:hAnsi="Cambria Math"/>
                <w:i/>
                <w:iCs/>
              </w:rPr>
              <w:t xml:space="preserve">w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</w:t>
            </w:r>
            <w:r>
              <w:rPr>
                <w:rFonts w:ascii="Times New Roman" w:cs="Times New Roman" w:eastAsia="SimSun" w:hAnsi="Times New Roman"/>
              </w:rPr>
              <w:t xml:space="preserve">，在两层间转移权重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最劣渠道配置；此问题为多层结构所特有，单层不存在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扫描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≠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2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判定"少数大群体"与"多数小群体"孰更危险。由 </w:t>
            </w: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关于 </w:t>
            </w:r>
            <w:r>
              <w:rPr>
                <w:rFonts w:ascii="Cambria Math" w:eastAsia="SimSun" w:hAnsi="Cambria Math"/>
                <w:i/>
                <w:iCs/>
              </w:rPr>
              <w:t xml:space="preserve">m</w:t>
            </w:r>
            <w:r>
              <w:rPr>
                <w:rFonts w:ascii="Times New Roman" w:cs="Times New Roman" w:eastAsia="SimSun" w:hAnsi="Times New Roman"/>
              </w:rPr>
              <w:t xml:space="preserve"> 的超线性增长，预期大群体更危险，须定量确认</w:t>
            </w:r>
          </w:p>
        </w:tc>
      </w:tr>
      <w:tr>
        <w:trPr>
          <w:tblHeader w:val="false"/>
        </w:trPr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沿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检验一条可证伪推论：(2.10) 只读取联合层度分布，看不见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。若测得阈值随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移动，其幅度即为树状闭合失效的定量刻度；若测不到，则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的作用只体现在阈值以外的量上</w:t>
            </w:r>
          </w:p>
        </w:tc>
      </w:tr>
    </w:tbl>
    <w:p>
      <w:pPr>
        <w:spacing w:after="160"/>
      </w:pP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其中最后一项以 1.3 节的可动范围测定为前提。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3.3 跨层剂量核下的推广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将风险率取为 </w:t>
      </w:r>
      <w:r>
        <w:rPr>
          <w:rFonts w:ascii="Cambria Math" w:eastAsia="SimSun" w:hAnsi="Cambria Math"/>
          <w:i w:val="false"/>
          <w:iCs w:val="false"/>
        </w:rPr>
        <w:t xml:space="preserve">β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Cambria Math" w:eastAsia="SimSun" w:hAnsi="Cambria Math"/>
          <w:i w:val="false"/>
          <w:iCs w:val="false"/>
        </w:rPr>
        <w:t xml:space="preserve">(Σ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</w:t>
      </w:r>
      <w:r>
        <w:rPr>
          <w:rFonts w:ascii="Cambria Math" w:eastAsia="SimSun" w:hAnsi="Cambria Math"/>
          <w:i w:val="false"/>
          <w:iCs w:val="false"/>
        </w:rPr>
        <w:t xml:space="preserve"> 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e_a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，其中 </w:t>
      </w:r>
      <w:r>
        <w:rPr>
          <w:rFonts w:ascii="Cambria Math" w:eastAsia="SimSun" w:hAnsi="Cambria Math"/>
          <w:i/>
          <w:iCs/>
        </w:rPr>
        <w:t xml:space="preserve">f</w:t>
      </w:r>
      <w:r>
        <w:rPr>
          <w:rFonts w:ascii="Times New Roman" w:cs="Times New Roman" w:eastAsia="SimSun" w:hAnsi="Times New Roman"/>
        </w:rPr>
        <w:t xml:space="preserve"> 为凹或凸的剂量核，则命题 1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失效。本组计算须给出闭合的相应修改——节点侧不再是各层的独立乘积，需引入跨层联合状态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——以及与可约情形的定量差异。若差异显著，则得到真正意义上的多层模型；若差异可忽略，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则应如实陈述"多层结构的效应主要来自结构而非动力学"，该结论同样成立且更强。</w:t>
      </w: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3.4 真实数据检验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取同一人群的多渠道群体数据，测量真实的 </w:t>
      </w:r>
      <w:r>
        <w:rPr>
          <w:rFonts w:ascii="Cambria Math" w:eastAsia="SimSun" w:hAnsi="Cambria Math"/>
          <w:i/>
          <w:iCs/>
        </w:rPr>
        <w:t xml:space="preserve">P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Cambria Math" w:eastAsia="SimSun" w:hAnsi="Cambria Math"/>
          <w:i w:val="false"/>
          <w:iCs w:val="false"/>
        </w:rPr>
        <w:t xml:space="preserve">)</w:t>
      </w:r>
      <w:r>
        <w:rPr>
          <w:rFonts w:ascii="Times New Roman" w:cs="Times New Roman" w:eastAsia="SimSun" w:hAnsi="Times New Roman"/>
        </w:rPr>
        <w:t xml:space="preserve">、</w:t>
      </w:r>
      <w:r>
        <w:rPr>
          <w:rFonts w:ascii="Cambria Math" w:eastAsia="SimSun" w:hAnsi="Cambria Math"/>
          <w:i w:val="false"/>
          <w:iCs w:val="false"/>
        </w:rPr>
        <w:t xml:space="preserve">ρ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代入 (2.10) 给出阈值预测，并与在真实结构上直接仿真的结果比较。由此确定理论在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非位形模型结构上的适用边界；真实结构存在层内重叠与聚集，偏差的量级本身即为结果。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4. 各结果的论断归属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1 支撑的论断是：多层模型的价值在于结构而非动力学。该论断对整个多层传播文献成立，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是本工作可以主张的最广的一条。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3 与 </w:t>
      </w:r>
      <w:r>
        <w:rPr>
          <w:rFonts w:ascii="Cambria Math" w:eastAsia="SimSun" w:hAnsi="Cambria Math"/>
          <w:i w:val="false"/>
          <w:iCs w:val="false"/>
        </w:rPr>
        <w:t xml:space="preserve">ρ(</w:t>
      </w:r>
      <w:r>
        <w:rPr>
          <w:rFonts w:ascii="Cambria Math" w:eastAsia="SimSun" w:hAnsi="Cambria Math"/>
          <w:i/>
          <w:iCs/>
        </w:rPr>
        <w:t xml:space="preserve">N</w:t>
      </w:r>
      <w:r>
        <w:rPr>
          <w:rFonts w:ascii="Cambria Math" w:eastAsia="SimSun" w:hAnsi="Cambria Math"/>
          <w:i w:val="false"/>
          <w:iCs w:val="false"/>
        </w:rPr>
        <w:t xml:space="preserve">)=1</w:t>
      </w:r>
      <w:r>
        <w:rPr>
          <w:rFonts w:ascii="Times New Roman" w:cs="Times New Roman" w:eastAsia="SimSun" w:hAnsi="Times New Roman"/>
        </w:rPr>
        <w:t xml:space="preserve"> 支撑的论断是：单层、多层、成对、高阶四种情形获得统一的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表述。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2.5 节的 </w:t>
      </w:r>
      <w:r>
        <w:rPr>
          <w:rFonts w:ascii="Cambria Math" w:eastAsia="SimSun" w:hAnsi="Cambria Math"/>
          <w:i/>
          <w:iCs/>
        </w:rPr>
        <w:t xml:space="preserve">C</w:t>
      </w:r>
      <w:r>
        <w:rPr>
          <w:rFonts w:ascii="Cambria Math" w:eastAsia="SimSun" w:hAnsi="Cambria Math"/>
          <w:i w:val="false"/>
          <w:iCs w:val="false"/>
        </w:rPr>
        <w:t xml:space="preserve">(</w:t>
      </w:r>
      <w:r>
        <w:rPr>
          <w:rFonts w:ascii="Cambria Math" w:eastAsia="SimSun" w:hAnsi="Cambria Math"/>
          <w:i/>
          <w:iCs/>
        </w:rPr>
        <w:t xml:space="preserve">m</w:t>
      </w:r>
      <w:r>
        <w:rPr>
          <w:rFonts w:ascii="Cambria Math" w:eastAsia="SimSun" w:hAnsi="Cambria Math"/>
          <w:i w:val="false"/>
          <w:iCs w:val="false"/>
        </w:rPr>
        <w:t xml:space="preserve">,λ,θ)</w:t>
      </w:r>
      <w:r>
        <w:rPr>
          <w:rFonts w:ascii="Times New Roman" w:cs="Times New Roman" w:eastAsia="SimSun" w:hAnsi="Times New Roman"/>
        </w:rPr>
        <w:t xml:space="preserve"> 支撑的论断是：群内级联是高阶传播所特有的量，成对极限下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退化为传递概率；同时它也是与家庭模型对接的接口。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4 与协同区相图支撑的论断是：两条弱渠道可以合并后超临界。此为最具传播力的一条，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适宜置于摘要。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命题 5 与图 3 支撑的论断是：均场偏差可分解为三项，其量级与方向各异。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2.9 节支撑的论断是：高门槛渠道不改变爆发与否，只改变爆发规模。</w:t>
      </w:r>
    </w:p>
    <w:p>
      <w:pPr>
        <w:spacing w:after="120" w:before="120" w:line="320" w:lineRule="auto"/>
        <w:jc w:val="both"/>
      </w:pPr>
      <w:r>
        <w:rPr>
          <w:rFonts w:ascii="Cambria Math" w:eastAsia="SimSun" w:hAnsi="Cambria Math"/>
          <w:i/>
          <w:iCs/>
        </w:rPr>
        <w:t xml:space="preserve">o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ab</w:t>
      </w:r>
      <w:r>
        <w:rPr>
          <w:rFonts w:ascii="Times New Roman" w:cs="Times New Roman" w:eastAsia="SimSun" w:hAnsi="Times New Roman"/>
        </w:rPr>
        <w:t xml:space="preserve"> 扫描支撑的是树状闭合的可证伪预言，测得与测不到均构成结果。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局限须如实陈述：闭合的渐近精确性目前只有数值证据而无严格证明；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的多层</w:t>
      </w:r>
    </w:p>
    <w:p>
      <w:pPr>
        <w:spacing w:after="120" w:before="120" w:line="320" w:lineRule="auto"/>
        <w:jc w:val="both"/>
      </w:pPr>
      <w:r>
        <w:rPr>
          <w:rFonts w:ascii="Times New Roman" w:cs="Times New Roman" w:eastAsia="SimSun" w:hAnsi="Times New Roman"/>
        </w:rPr>
        <w:t xml:space="preserve">bootstrap 问题未解；跨层剂量核只给出框架；层内重叠尚未处理。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5. 工作进度汇总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#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计算内容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预期结果</w:t>
            </w:r>
          </w:p>
        </w:tc>
        <w:tc>
          <w:tcPr>
            <w:tcW w:type="dxa" w:w="2340"/>
            <w:shd w:fill="E8ECF2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测定 </w:t>
            </w: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在保联合度下的可动范围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决定 3.2 末项扫描是否可行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  <w:b/>
                <w:bCs/>
              </w:rPr>
              <w:t xml:space="preserve">首要事项，尚未进行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生成器与 Gillespie 采样器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真值来源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已具备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(2.5) 的积分器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完整的 </w:t>
            </w:r>
            <w:r>
              <w:rPr>
                <w:rFonts w:ascii="Cambria Math" w:eastAsia="SimSun" w:hAnsi="Cambria Math"/>
                <w:i/>
                <w:iCs/>
              </w:rPr>
              <w:t xml:space="preserve">S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I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,</w:t>
            </w:r>
            <w:r>
              <w:rPr>
                <w:rFonts w:ascii="Cambria Math" w:eastAsia="SimSun" w:hAnsi="Cambria Math"/>
                <w:i/>
                <w:iCs/>
              </w:rPr>
              <w:t xml:space="preserve">R</w:t>
            </w:r>
            <w:r>
              <w:rPr>
                <w:rFonts w:ascii="Times New Roman" w:cs="Times New Roman" w:eastAsia="SimSun" w:hAnsi="Times New Roman"/>
              </w:rPr>
              <w:t xml:space="preserve"> 与终态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已具备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两条免仿真自检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方程组自洽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数值 Jacobian 与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ρ(</w:t>
            </w:r>
            <w:r>
              <w:rPr>
                <w:rFonts w:ascii="Cambria Math" w:eastAsia="SimSun" w:hAnsi="Cambria Math"/>
                <w:i/>
                <w:iCs/>
              </w:rPr>
              <w:t xml:space="preserve">N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)=1</w:t>
            </w:r>
            <w:r>
              <w:rPr>
                <w:rFonts w:ascii="Times New Roman" w:cs="Times New Roman" w:eastAsia="SimSun" w:hAnsi="Times New Roman"/>
              </w:rPr>
              <w:t xml:space="preserve"> 比对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阈值公式无误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5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C</w:t>
            </w:r>
            <w:r>
              <w:rPr>
                <w:rFonts w:ascii="Times New Roman" w:cs="Times New Roman" w:eastAsia="SimSun" w:hAnsi="Times New Roman"/>
              </w:rPr>
              <w:t xml:space="preserve"> 的递推与蒙特卡洛比对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级联量无误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6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闭合与仿真的规模标度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闭合渐近精确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已完成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7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均场的同一标度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均场趋于非零平台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8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亚临界外推测定 </w:t>
            </w:r>
            <w:r>
              <w:rPr>
                <w:rFonts w:ascii="Cambria Math" w:eastAsia="SimSun" w:hAnsi="Cambria Math"/>
                <w:i w:val="false"/>
                <w:iCs w:val="false"/>
              </w:rPr>
              <w:t xml:space="preserve">λ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c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阈值的独立测量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9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 w:val="false"/>
                <w:iCs w:val="false"/>
              </w:rPr>
              <w:t xml:space="preserve">ρ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12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10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协同区相图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图 5，核心结果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理论已验，制图待做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11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渠道权重与群体规模扫描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最劣配置；大小群体之比较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12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Cambria Math" w:eastAsia="SimSun" w:hAnsi="Cambria Math"/>
                <w:i/>
                <w:iCs/>
              </w:rPr>
              <w:t xml:space="preserve">o</w:t>
            </w:r>
            <w:r>
              <w:rPr>
                <w:rFonts w:ascii="Cambria Math" w:eastAsia="SimSun" w:hAnsi="Cambria Math"/>
                <w:i w:val="false"/>
                <w:iCs w:val="false"/>
                <w:vertAlign w:val="subscript"/>
              </w:rPr>
              <w:t xml:space="preserve">ab</w:t>
            </w:r>
            <w:r>
              <w:rPr>
                <w:rFonts w:ascii="Times New Roman" w:cs="Times New Roman" w:eastAsia="SimSun" w:hAnsi="Times New Roman"/>
              </w:rPr>
              <w:t xml:space="preserve"> 扫描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可证伪推论的检验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以第 0 项为前提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13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跨层剂量核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不可约情形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  <w:tr>
        <w:trPr>
          <w:tblHeader w:val="false"/>
        </w:trPr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14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真实数据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适用边界</w:t>
            </w:r>
          </w:p>
        </w:tc>
        <w:tc>
          <w:tcPr>
            <w:tcW w:type="dxa" w:w="2340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before="40" w:line="300"/>
            </w:pPr>
            <w:r>
              <w:rPr>
                <w:rFonts w:ascii="Times New Roman" w:cs="Times New Roman" w:eastAsia="SimSun" w:hAnsi="Times New Roman"/>
              </w:rPr>
              <w:t xml:space="preserve">尚未进行</w:t>
            </w:r>
          </w:p>
        </w:tc>
      </w:tr>
    </w:tbl>
    <w:p>
      <w:pPr>
        <w:spacing w:after="160"/>
      </w:pP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2026-08-17T11:47:16.490Z</dcterms:created>
  <dcterms:modified xsi:type="dcterms:W3CDTF">2026-08-17T11:47:16.491Z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