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ind w:firstLine="0"/>
        <w:jc w:val="center"/>
      </w:pPr>
      <w:r>
        <w:rPr>
          <w:rFonts w:ascii="SimSun" w:cs="SimSun" w:eastAsia="SimSun" w:hAnsi="SimSun"/>
          <w:b/>
          <w:bCs/>
          <w:color w:val="1A1A18"/>
          <w:sz w:val="30"/>
          <w:szCs w:val="30"/>
        </w:rPr>
        <w:t xml:space="preserve">由亚临界终态外推测定爆发阈值 </w:t>
      </w:r>
      <w:r>
        <w:rPr>
          <w:rFonts w:ascii="Cambria Math" w:cs="Cambria Math" w:eastAsia="Cambria Math" w:hAnsi="Cambria Math"/>
          <w:b/>
          <w:bCs/>
          <w:color w:val="1A1A18"/>
          <w:sz w:val="30"/>
          <w:szCs w:val="30"/>
        </w:rPr>
        <w:t xml:space="preserve">λ</w:t>
      </w:r>
      <w:r>
        <w:rPr>
          <w:rFonts w:ascii="Cambria Math" w:cs="Cambria Math" w:eastAsia="Cambria Math" w:hAnsi="Cambria Math"/>
          <w:b/>
          <w:bCs/>
          <w:color w:val="1A1A18"/>
          <w:sz w:val="30"/>
          <w:szCs w:val="30"/>
          <w:vertAlign w:val="subscript"/>
        </w:rPr>
        <w:t xml:space="preserve">c</w:t>
      </w:r>
    </w:p>
    <w:p>
      <w:pPr>
        <w:spacing w:after="180"/>
        <w:ind w:firstLine="0"/>
        <w:jc w:val="center"/>
      </w:pPr>
      <w:r>
        <w:rPr>
          <w:rFonts w:ascii="SimSun" w:cs="SimSun" w:eastAsia="SimSun" w:hAnsi="SimSun"/>
          <w:color w:val="6B6A63"/>
          <w:sz w:val="19"/>
          <w:szCs w:val="19"/>
        </w:rPr>
        <w:t xml:space="preserve">多重超图上的 SIR 传播 · 群体闭合理论</w:t>
      </w:r>
    </w:p>
    <w:p>
      <w:pPr>
        <w:spacing w:after="120" w:before="280"/>
      </w:pPr>
      <w:r>
        <w:rPr>
          <w:rFonts w:ascii="SimSun" w:cs="SimSun" w:eastAsia="SimSun" w:hAnsi="SimSun"/>
          <w:b/>
          <w:bCs/>
          <w:color w:val="1A1A18"/>
          <w:sz w:val="25"/>
          <w:szCs w:val="25"/>
        </w:rPr>
        <w:t xml:space="preserve">1  模型与次代矩阵</w:t>
      </w:r>
    </w:p>
    <w:p>
      <w:pPr>
        <w:spacing w:after="140" w:before="0" w:line="300"/>
        <w:ind w:firstLine="0"/>
      </w:pPr>
      <w:r>
        <w:rPr>
          <w:rFonts w:ascii="SimSun" w:cs="SimSun" w:eastAsia="SimSun" w:hAnsi="SimSun"/>
          <w:color w:val="1A1A18"/>
          <w:sz w:val="21"/>
          <w:szCs w:val="21"/>
        </w:rPr>
        <w:t xml:space="preserve">我们在多重超图上传播 SIR 过程：节点归属于 M 个层的群体，层 a 是同质基数为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的超图，节点的参与由层度向量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k=(k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(1)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,…,k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(M)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编码，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(a)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为其所属层 a 群体数，联合分布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P(k)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；一切层间结构只经由矩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⟨k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⟩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⟨k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⟩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进入理论。一个群体在其至少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θ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名成员受感染后激活，随即以速率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=λw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μ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向每个易感成员传递，感染者以速率 μ 康复；重标时间后模型只余单一标量控制 λ。固定一个空腔节点并对其每个群体追踪除它以外成员的（易感, 感染, 康复）计数，得到一个维数与系统规模 N 无关的闭合常微分方程组，其终态定出爆发规模</w:t>
      </w:r>
    </w:p>
    <w:p>
      <w:pPr>
        <w:tabs>
          <w:tab w:val="center" w:pos="4703"/>
          <w:tab w:val="right" w:pos="9406"/>
        </w:tabs>
        <w:spacing w:after="130" w:before="70" w:line="288"/>
      </w:pPr>
      <w:r>
        <w:t xml:space="preserve">	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R(∞) = 1 − (1 − ε)·Ψ(Φ(∞))</w:t>
      </w:r>
      <w:r>
        <w:t xml:space="preserve">	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(1)</w:t>
      </w:r>
    </w:p>
    <w:p>
      <w:pPr>
        <w:spacing w:after="140" w:before="0" w:line="300"/>
        <w:ind w:firstLine="0"/>
      </w:pPr>
      <w:r>
        <w:rPr>
          <w:rFonts w:ascii="SimSun" w:cs="SimSun" w:eastAsia="SimSun" w:hAnsi="SimSun"/>
          <w:color w:val="1A1A18"/>
          <w:sz w:val="21"/>
          <w:szCs w:val="21"/>
        </w:rPr>
        <w:t xml:space="preserve">其中 ε 为初始播种比例，Ψ 为节点侧生成函数，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a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为层 a 群体尚未向空腔节点传递感染的概率。</w:t>
      </w:r>
    </w:p>
    <w:p>
      <w:pPr>
        <w:spacing w:after="140" w:before="0" w:line="300"/>
        <w:ind w:firstLine="420"/>
      </w:pPr>
      <w:r>
        <w:rPr>
          <w:rFonts w:ascii="SimSun" w:cs="SimSun" w:eastAsia="SimSun" w:hAnsi="SimSun"/>
          <w:color w:val="1A1A18"/>
          <w:sz w:val="21"/>
          <w:szCs w:val="21"/>
        </w:rPr>
        <w:t xml:space="preserve">无向群体的新意在于</w:t>
      </w:r>
      <w:r>
        <w:rPr>
          <w:rFonts w:ascii="SimSun" w:cs="SimSun" w:eastAsia="SimSun" w:hAnsi="SimSun"/>
          <w:b/>
          <w:bCs/>
          <w:color w:val="1A1A18"/>
          <w:sz w:val="21"/>
          <w:szCs w:val="21"/>
        </w:rPr>
        <w:t xml:space="preserve">群内级联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：群内被感染的成员会延长该群体的激活时长，从而提高其余成员被感染的概率——这在成对或有向情形下不存在。对孤立 m 元群体中的单个种子，设 u(i,s) 为从 i 个感染、s 个易感出发此后新增感染数的期望，以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α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i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=λs·1[i≥θ]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记群体总感染率（以康复率为单位），则</w:t>
      </w:r>
    </w:p>
    <w:p>
      <w:pPr>
        <w:tabs>
          <w:tab w:val="center" w:pos="4703"/>
          <w:tab w:val="right" w:pos="9406"/>
        </w:tabs>
        <w:spacing w:after="130" w:before="70" w:line="288"/>
      </w:pPr>
      <w:r>
        <w:t xml:space="preserve">	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u(i,s) = [α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i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/(α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i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+i)]·[1 + u(i+1, s−1)] + [i/(α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i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+i)]·u(i−1, s)</w:t>
      </w:r>
      <w:r>
        <w:t xml:space="preserve">	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(2)</w:t>
      </w:r>
    </w:p>
    <w:p>
      <w:pPr>
        <w:spacing w:after="140" w:before="0" w:line="300"/>
        <w:ind w:firstLine="0"/>
      </w:pPr>
      <w:r>
        <w:rPr>
          <w:rFonts w:ascii="SimSun" w:cs="SimSun" w:eastAsia="SimSun" w:hAnsi="SimSun"/>
          <w:color w:val="1A1A18"/>
          <w:sz w:val="21"/>
          <w:szCs w:val="21"/>
        </w:rPr>
        <w:t xml:space="preserve">边界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u(0,s)=u(i,0)=0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，级联规模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C(m,λ,θ)=u(1, m−1)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是可精确计算的标量：退化为成对传递概率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C(2,λ,1)=λ/(1+λ)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，在 m≥3 时超出线性估计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(m−1)λ/(1+λ)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，而 θ≥2 时为零（单个种子无法激活群体）。</w:t>
      </w:r>
    </w:p>
    <w:p>
      <w:pPr>
        <w:spacing w:after="140" w:before="0" w:line="300"/>
        <w:ind w:firstLine="420"/>
      </w:pPr>
      <w:r>
        <w:rPr>
          <w:rFonts w:ascii="SimSun" w:cs="SimSun" w:eastAsia="SimSun" w:hAnsi="SimSun"/>
          <w:color w:val="1A1A18"/>
          <w:sz w:val="21"/>
          <w:szCs w:val="21"/>
        </w:rPr>
        <w:t xml:space="preserve">爆发按多型分支过程展开，型即“节点经由哪一层被感染”。经由层 a 感染的节点在其</w:t>
      </w:r>
      <w:r>
        <w:rPr>
          <w:rFonts w:ascii="SimSun" w:cs="SimSun" w:eastAsia="SimSun" w:hAnsi="SimSun"/>
          <w:i/>
          <w:iCs/>
          <w:color w:val="1A1A18"/>
          <w:sz w:val="21"/>
          <w:szCs w:val="21"/>
        </w:rPr>
        <w:t xml:space="preserve">其余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层 b 群体中各点燃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C(m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,θ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个新感染，而这样的群体平均有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⟨k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⟩/⟨k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⟩−δ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ab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个。故平均后代（次代）矩阵为</w:t>
      </w:r>
    </w:p>
    <w:p>
      <w:pPr>
        <w:tabs>
          <w:tab w:val="center" w:pos="4703"/>
          <w:tab w:val="right" w:pos="9406"/>
        </w:tabs>
        <w:spacing w:after="130" w:before="70" w:line="288"/>
      </w:pPr>
      <w:r>
        <w:t xml:space="preserve">	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 = C(m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, 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, θ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)·[ ⟨k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⟩ / ⟨k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⟩ − δ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 ]</w:t>
      </w:r>
      <w:r>
        <w:t xml:space="preserve">	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(3)</w:t>
      </w:r>
    </w:p>
    <w:p>
      <w:pPr>
        <w:spacing w:after="140" w:before="0" w:line="300"/>
        <w:ind w:firstLine="0"/>
      </w:pPr>
      <w:r>
        <w:rPr>
          <w:rFonts w:ascii="SimSun" w:cs="SimSun" w:eastAsia="SimSun" w:hAnsi="SimSun"/>
          <w:color w:val="1A1A18"/>
          <w:sz w:val="21"/>
          <w:szCs w:val="21"/>
        </w:rPr>
        <w:t xml:space="preserve">其中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=λw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b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。爆发阈值即其谱半径达到 1 之处，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。全部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=2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时回到多层网络 SIR 的次代矩阵；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M=1, m=2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时回到配置模型的标量阈值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⟨k⟩/(⟨k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2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⟩−⟨k⟩)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。</w:t>
      </w:r>
    </w:p>
    <w:p>
      <w:pPr>
        <w:spacing w:after="120" w:before="280"/>
      </w:pPr>
      <w:r>
        <w:rPr>
          <w:rFonts w:ascii="SimSun" w:cs="SimSun" w:eastAsia="SimSun" w:hAnsi="SimSun"/>
          <w:b/>
          <w:bCs/>
          <w:color w:val="1A1A18"/>
          <w:sz w:val="25"/>
          <w:szCs w:val="25"/>
        </w:rPr>
        <w:t xml:space="preserve">2  由亚临界终态读出阈值</w:t>
      </w:r>
    </w:p>
    <w:p>
      <w:pPr>
        <w:spacing w:after="140" w:before="0" w:line="300"/>
        <w:ind w:firstLine="0"/>
      </w:pPr>
      <w:r>
        <w:rPr>
          <w:rFonts w:ascii="SimSun" w:cs="SimSun" w:eastAsia="SimSun" w:hAnsi="SimSun"/>
          <w:color w:val="1A1A18"/>
          <w:sz w:val="21"/>
          <w:szCs w:val="21"/>
        </w:rPr>
        <w:t xml:space="preserve">约化为低维系统后，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可由两条逻辑独立的路线测定：其一为谱方法，线性化群体间的分支过程、问其平均后代算子何时首次出现单位特征值，即上节的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；其二在精神上是热力学式的，始终停在阈值以下、由小种子爆发规模的发散读出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，本节发展之并用作独立校验。阈值以下小种子只造成有限爆发，但其期望规模随 λ→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−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无界增长；播种一个随机节点，其此后感染节点数的期望在分支近似下为</w:t>
      </w:r>
    </w:p>
    <w:p>
      <w:pPr>
        <w:tabs>
          <w:tab w:val="center" w:pos="4703"/>
          <w:tab w:val="right" w:pos="9406"/>
        </w:tabs>
        <w:spacing w:after="130" w:before="70" w:line="288"/>
      </w:pPr>
      <w:r>
        <w:t xml:space="preserve">	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χ(λ) = 1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T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(I − N)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−1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 v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0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 = 1 + 1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T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(I − N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T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)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−1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 g</w:t>
      </w:r>
      <w:r>
        <w:t xml:space="preserve">	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(4)</w:t>
      </w:r>
    </w:p>
    <w:p>
      <w:pPr>
        <w:spacing w:after="140" w:before="0" w:line="300"/>
        <w:ind w:firstLine="0"/>
      </w:pPr>
      <w:r>
        <w:rPr>
          <w:rFonts w:ascii="SimSun" w:cs="SimSun" w:eastAsia="SimSun" w:hAnsi="SimSun"/>
          <w:color w:val="1A1A18"/>
          <w:sz w:val="21"/>
          <w:szCs w:val="21"/>
        </w:rPr>
        <w:t xml:space="preserve">其中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v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0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为种子的型分布、g 为其首代（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g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=⟨k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⟩·C(m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,θ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）。该平均规模的极点来自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(I−N)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−1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，故恰在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处按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(1−ρ)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−1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发散；须注意</w:t>
      </w:r>
      <w:r>
        <w:rPr>
          <w:rFonts w:ascii="SimSun" w:cs="SimSun" w:eastAsia="SimSun" w:hAnsi="SimSun"/>
          <w:b/>
          <w:bCs/>
          <w:color w:val="1A1A18"/>
          <w:sz w:val="21"/>
          <w:szCs w:val="21"/>
        </w:rPr>
        <w:t xml:space="preserve">不可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将其写成标量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1/(1−ρ)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，除非 M=1 或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v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0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恰为 Perron 向量。其倒数则是一条光滑函数，在阈值处</w:t>
      </w:r>
      <w:r>
        <w:rPr>
          <w:rFonts w:ascii="SimSun" w:cs="SimSun" w:eastAsia="SimSun" w:hAnsi="SimSun"/>
          <w:b/>
          <w:bCs/>
          <w:color w:val="1A1A18"/>
          <w:sz w:val="21"/>
          <w:szCs w:val="21"/>
        </w:rPr>
        <w:t xml:space="preserve">线性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穿过零点，因而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即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ε/R(∞)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的零点：</w:t>
      </w:r>
    </w:p>
    <w:p>
      <w:pPr>
        <w:tabs>
          <w:tab w:val="center" w:pos="4703"/>
          <w:tab w:val="right" w:pos="9406"/>
        </w:tabs>
        <w:spacing w:after="130" w:before="70" w:line="288"/>
      </w:pPr>
      <w:r>
        <w:t xml:space="preserve">	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y(λ) = ε/R(∞) = 1/χ(λ)  →  0,     y ≈ c·(λ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 − λ)     (λ → 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−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)</w:t>
      </w:r>
      <w:r>
        <w:t xml:space="preserve">	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(5)</w:t>
      </w:r>
    </w:p>
    <w:p>
      <w:pPr>
        <w:spacing w:after="140" w:before="0" w:line="300"/>
        <w:ind w:firstLine="0"/>
      </w:pPr>
      <w:r>
        <w:rPr>
          <w:rFonts w:ascii="SimSun" w:cs="SimSun" w:eastAsia="SimSun" w:hAnsi="SimSun"/>
          <w:color w:val="1A1A18"/>
          <w:sz w:val="21"/>
          <w:szCs w:val="21"/>
        </w:rPr>
        <w:t xml:space="preserve">由于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R(∞)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由积分完整非线性闭合 (1) 得到、而非对角化 N，这条路线在真正独立于特征值条件 (3) 的意义下测定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。有限种子会磨圆过渡、在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处仍留下非零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R(∞)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，使零点略偏高；因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R(∞)/ε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对小 ε 为线性，此偏置由 ε→0 的 Richardson 外推消去。随 ε→0，积分终态逐点收敛到 (4)：ε 由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2×10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−4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减半至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−5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时相对差由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3.7×10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−3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降到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1.1×10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−5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，证实闭合的亚临界规模精确为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1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T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(I−N)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−1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v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0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，其极点严格钉在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。</w:t>
      </w:r>
    </w:p>
    <w:p>
      <w:pPr>
        <w:spacing w:after="120" w:before="280"/>
      </w:pPr>
      <w:r>
        <w:rPr>
          <w:rFonts w:ascii="SimSun" w:cs="SimSun" w:eastAsia="SimSun" w:hAnsi="SimSun"/>
          <w:b/>
          <w:bCs/>
          <w:color w:val="1A1A18"/>
          <w:sz w:val="25"/>
          <w:szCs w:val="25"/>
        </w:rPr>
        <w:t xml:space="preserve">3  结果</w:t>
      </w:r>
    </w:p>
    <w:p>
      <w:pPr>
        <w:spacing w:after="140" w:before="0" w:line="300"/>
        <w:ind w:firstLine="0"/>
      </w:pPr>
      <w:r>
        <w:rPr>
          <w:rFonts w:ascii="SimSun" w:cs="SimSun" w:eastAsia="SimSun" w:hAnsi="SimSun"/>
          <w:color w:val="1A1A18"/>
          <w:sz w:val="21"/>
          <w:szCs w:val="21"/>
        </w:rPr>
        <w:t xml:space="preserve">图 1 在八组构型上执行上述方案，其阈值覆盖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∈[0.08,0.40]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，含单层高阶超图、成对退化网络与双层多重超图。面板 (a) 中逆爆发规模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ε/R(∞)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随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λ/λ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→1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线性坍缩到零，三条示例线在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预言处交于同一点。面板 (b) 把外推阈值对谱阈值作图，八组全落在对角线上，最大相对偏差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6×10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−4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；面板 (c) 以外推截距的回归标准误 σ 为单位给出每组偏离，全部落在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的 1.5σ 之内（表 1）。</w:t>
      </w:r>
    </w:p>
    <w:p>
      <w:pPr>
        <w:spacing w:after="60" w:before="60"/>
        <w:ind w:firstLine="0"/>
      </w:pPr>
      <w:r>
        <w:rPr>
          <w:rFonts w:ascii="SimSun" w:cs="SimSun" w:eastAsia="SimSun" w:hAnsi="SimSun"/>
          <w:i/>
          <w:iCs/>
          <w:color w:val="6B6A63"/>
          <w:sz w:val="18"/>
          <w:szCs w:val="18"/>
        </w:rPr>
        <w:t xml:space="preserve">表 1　八组构型：外推阈值与谱阈值 ρ(N)=1 的比较。</w:t>
      </w:r>
    </w:p>
    <w:tbl>
      <w:tblPr>
        <w:tblW w:type="dxa" w:w="9160"/>
        <w:jc w:val="center"/>
        <w:tblBorders>
          <w:top w:val="single" w:color="9A9A93" w:sz="6"/>
          <w:left w:val="none"/>
          <w:bottom w:val="single" w:color="9A9A93" w:sz="6"/>
          <w:right w:val="none"/>
          <w:insideH w:val="single" w:color="D9D9D2" w:sz="2"/>
          <w:insideV w:val="none"/>
        </w:tblBorders>
      </w:tblPr>
      <w:tblGrid>
        <w:gridCol w:w="2260"/>
        <w:gridCol w:w="1560"/>
        <w:gridCol w:w="1560"/>
        <w:gridCol w:w="1300"/>
        <w:gridCol w:w="1340"/>
        <w:gridCol w:w="1140"/>
      </w:tblGrid>
      <w:tr>
        <w:trPr>
          <w:cantSplit/>
          <w:tblHeader/>
        </w:trPr>
        <w:tc>
          <w:tcPr>
            <w:tcW w:type="dxa" w:w="2260"/>
            <w:shd w:fill="ECEBE4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b/>
                <w:bCs/>
                <w:color w:val="1A1A18"/>
                <w:sz w:val="18"/>
                <w:szCs w:val="18"/>
              </w:rPr>
              <w:t xml:space="preserve">构型</w:t>
            </w:r>
          </w:p>
        </w:tc>
        <w:tc>
          <w:tcPr>
            <w:tcW w:type="dxa" w:w="1560"/>
            <w:shd w:fill="ECEBE4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18"/>
                <w:sz w:val="18"/>
                <w:szCs w:val="18"/>
              </w:rPr>
              <w:t xml:space="preserve">λc [ρ(N)=1]</w:t>
            </w:r>
          </w:p>
        </w:tc>
        <w:tc>
          <w:tcPr>
            <w:tcW w:type="dxa" w:w="1560"/>
            <w:shd w:fill="ECEBE4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18"/>
                <w:sz w:val="18"/>
                <w:szCs w:val="18"/>
              </w:rPr>
              <w:t xml:space="preserve">λc [外推]</w:t>
            </w:r>
          </w:p>
        </w:tc>
        <w:tc>
          <w:tcPr>
            <w:tcW w:type="dxa" w:w="1300"/>
            <w:shd w:fill="ECEBE4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18"/>
                <w:sz w:val="18"/>
                <w:szCs w:val="18"/>
              </w:rPr>
              <w:t xml:space="preserve">相对偏差</w:t>
            </w:r>
          </w:p>
        </w:tc>
        <w:tc>
          <w:tcPr>
            <w:tcW w:type="dxa" w:w="1340"/>
            <w:shd w:fill="ECEBE4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1A1A18"/>
                <w:sz w:val="18"/>
                <w:szCs w:val="18"/>
              </w:rPr>
              <w:t xml:space="preserve">σ</w:t>
            </w:r>
          </w:p>
        </w:tc>
        <w:tc>
          <w:tcPr>
            <w:tcW w:type="dxa" w:w="1140"/>
            <w:shd w:fill="ECEBE4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18"/>
                <w:sz w:val="18"/>
                <w:szCs w:val="18"/>
              </w:rPr>
              <w:t xml:space="preserve">偏离 (σ)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2-layer m=(4,4)</w:t>
            </w:r>
          </w:p>
        </w:tc>
        <w:tc>
          <w:tcPr>
            <w:tcW w:type="dxa" w:w="15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0.080302</w:t>
            </w:r>
          </w:p>
        </w:tc>
        <w:tc>
          <w:tcPr>
            <w:tcW w:type="dxa" w:w="15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0.080354</w:t>
            </w:r>
          </w:p>
        </w:tc>
        <w:tc>
          <w:tcPr>
            <w:tcW w:type="dxa" w:w="13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+0.065%</w:t>
            </w:r>
          </w:p>
        </w:tc>
        <w:tc>
          <w:tcPr>
            <w:tcW w:type="dxa" w:w="134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3.4×10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+1.51</w:t>
            </w:r>
          </w:p>
        </w:tc>
      </w:tr>
      <w:tr>
        <w:trPr>
          <w:cantSplit/>
          <w:tblHeader w:val="false"/>
        </w:trPr>
        <w:tc>
          <w:tcPr>
            <w:tcW w:type="dxa" w:w="22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2-layer m=(3,4)</w:t>
            </w:r>
          </w:p>
        </w:tc>
        <w:tc>
          <w:tcPr>
            <w:tcW w:type="dxa" w:w="15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0.099309</w:t>
            </w:r>
          </w:p>
        </w:tc>
        <w:tc>
          <w:tcPr>
            <w:tcW w:type="dxa" w:w="15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0.099370</w:t>
            </w:r>
          </w:p>
        </w:tc>
        <w:tc>
          <w:tcPr>
            <w:tcW w:type="dxa" w:w="13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+0.062%</w:t>
            </w:r>
          </w:p>
        </w:tc>
        <w:tc>
          <w:tcPr>
            <w:tcW w:type="dxa" w:w="134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4.4×10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+1.38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2-layer m=(3,3)</w:t>
            </w:r>
          </w:p>
        </w:tc>
        <w:tc>
          <w:tcPr>
            <w:tcW w:type="dxa" w:w="15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0.128162</w:t>
            </w:r>
          </w:p>
        </w:tc>
        <w:tc>
          <w:tcPr>
            <w:tcW w:type="dxa" w:w="15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0.128236</w:t>
            </w:r>
          </w:p>
        </w:tc>
        <w:tc>
          <w:tcPr>
            <w:tcW w:type="dxa" w:w="13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+0.058%</w:t>
            </w:r>
          </w:p>
        </w:tc>
        <w:tc>
          <w:tcPr>
            <w:tcW w:type="dxa" w:w="134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5.9×10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+1.26</w:t>
            </w:r>
          </w:p>
        </w:tc>
      </w:tr>
      <w:tr>
        <w:trPr>
          <w:cantSplit/>
          <w:tblHeader w:val="false"/>
        </w:trPr>
        <w:tc>
          <w:tcPr>
            <w:tcW w:type="dxa" w:w="22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3-reg. m=4</w:t>
            </w:r>
          </w:p>
        </w:tc>
        <w:tc>
          <w:tcPr>
            <w:tcW w:type="dxa" w:w="15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0.174483</w:t>
            </w:r>
          </w:p>
        </w:tc>
        <w:tc>
          <w:tcPr>
            <w:tcW w:type="dxa" w:w="15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0.174536</w:t>
            </w:r>
          </w:p>
        </w:tc>
        <w:tc>
          <w:tcPr>
            <w:tcW w:type="dxa" w:w="13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+0.031%</w:t>
            </w:r>
          </w:p>
        </w:tc>
        <w:tc>
          <w:tcPr>
            <w:tcW w:type="dxa" w:w="134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9.8×10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+0.55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2-layer m=(2,3)</w:t>
            </w:r>
          </w:p>
        </w:tc>
        <w:tc>
          <w:tcPr>
            <w:tcW w:type="dxa" w:w="15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0.185417</w:t>
            </w:r>
          </w:p>
        </w:tc>
        <w:tc>
          <w:tcPr>
            <w:tcW w:type="dxa" w:w="15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0.185512</w:t>
            </w:r>
          </w:p>
        </w:tc>
        <w:tc>
          <w:tcPr>
            <w:tcW w:type="dxa" w:w="13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+0.052%</w:t>
            </w:r>
          </w:p>
        </w:tc>
        <w:tc>
          <w:tcPr>
            <w:tcW w:type="dxa" w:w="134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9.3×10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−5</w:t>
            </w:r>
          </w:p>
        </w:tc>
        <w:tc>
          <w:tcPr>
            <w:tcW w:type="dxa" w:w="114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+1.03</w:t>
            </w:r>
          </w:p>
        </w:tc>
      </w:tr>
      <w:tr>
        <w:trPr>
          <w:cantSplit/>
          <w:tblHeader w:val="false"/>
        </w:trPr>
        <w:tc>
          <w:tcPr>
            <w:tcW w:type="dxa" w:w="22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6-reg. pairwise</w:t>
            </w:r>
          </w:p>
        </w:tc>
        <w:tc>
          <w:tcPr>
            <w:tcW w:type="dxa" w:w="15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0.250000</w:t>
            </w:r>
          </w:p>
        </w:tc>
        <w:tc>
          <w:tcPr>
            <w:tcW w:type="dxa" w:w="15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0.250096</w:t>
            </w:r>
          </w:p>
        </w:tc>
        <w:tc>
          <w:tcPr>
            <w:tcW w:type="dxa" w:w="13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+0.039%</w:t>
            </w:r>
          </w:p>
        </w:tc>
        <w:tc>
          <w:tcPr>
            <w:tcW w:type="dxa" w:w="134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1.3×10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14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+0.76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5-reg. pairwise</w:t>
            </w:r>
          </w:p>
        </w:tc>
        <w:tc>
          <w:tcPr>
            <w:tcW w:type="dxa" w:w="15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0.333333</w:t>
            </w:r>
          </w:p>
        </w:tc>
        <w:tc>
          <w:tcPr>
            <w:tcW w:type="dxa" w:w="15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0.333440</w:t>
            </w:r>
          </w:p>
        </w:tc>
        <w:tc>
          <w:tcPr>
            <w:tcW w:type="dxa" w:w="13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+0.032%</w:t>
            </w:r>
          </w:p>
        </w:tc>
        <w:tc>
          <w:tcPr>
            <w:tcW w:type="dxa" w:w="134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1.9×10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14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+0.57</w:t>
            </w:r>
          </w:p>
        </w:tc>
      </w:tr>
      <w:tr>
        <w:trPr>
          <w:cantSplit/>
          <w:tblHeader w:val="false"/>
        </w:trPr>
        <w:tc>
          <w:tcPr>
            <w:tcW w:type="dxa" w:w="22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1-layer m=3</w:t>
            </w:r>
          </w:p>
        </w:tc>
        <w:tc>
          <w:tcPr>
            <w:tcW w:type="dxa" w:w="15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0.400567</w:t>
            </w:r>
          </w:p>
        </w:tc>
        <w:tc>
          <w:tcPr>
            <w:tcW w:type="dxa" w:w="15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0.400702</w:t>
            </w:r>
          </w:p>
        </w:tc>
        <w:tc>
          <w:tcPr>
            <w:tcW w:type="dxa" w:w="13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+0.034%</w:t>
            </w:r>
          </w:p>
        </w:tc>
        <w:tc>
          <w:tcPr>
            <w:tcW w:type="dxa" w:w="134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2.9×10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114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+0.47</w:t>
            </w:r>
          </w:p>
        </w:tc>
      </w:tr>
    </w:tbl>
    <w:p>
      <w:pPr>
        <w:spacing w:after="140" w:before="40" w:line="300"/>
        <w:ind w:firstLine="0"/>
      </w:pPr>
      <w:r>
        <w:rPr>
          <w:rFonts w:ascii="SimSun" w:cs="SimSun" w:eastAsia="SimSun" w:hAnsi="SimSun"/>
          <w:color w:val="1A1A18"/>
          <w:sz w:val="21"/>
          <w:szCs w:val="21"/>
        </w:rPr>
        <w:t xml:space="preserve">微小残余为线性律 (5) 的</w:t>
      </w:r>
      <w:r>
        <w:rPr>
          <w:rFonts w:ascii="SimSun" w:cs="SimSun" w:eastAsia="SimSun" w:hAnsi="SimSun"/>
          <w:b/>
          <w:bCs/>
          <w:color w:val="1A1A18"/>
          <w:sz w:val="21"/>
          <w:szCs w:val="21"/>
        </w:rPr>
        <w:t xml:space="preserve">有限窗口效应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：逆规模仅在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紧邻严格线性，故有限窗口拟合带一个偏置，其符号随窗口位置翻转、量级与 σ 相当，因而不可与真实偏离区分。</w:t>
      </w:r>
    </w:p>
    <w:p>
      <w:pPr>
        <w:spacing w:after="50" w:before="100"/>
        <w:ind w:firstLine="0"/>
        <w:jc w:val="center"/>
      </w:pPr>
      <w:r>
        <w:drawing>
          <wp:inline distT="0" distB="0" distL="0" distR="0">
            <wp:extent cx="61722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60" w:line="264"/>
        <w:ind w:firstLine="0"/>
        <w:jc w:val="left"/>
      </w:pPr>
      <w:r>
        <w:rPr>
          <w:rFonts w:ascii="SimSun" w:cs="SimSun" w:eastAsia="SimSun" w:hAnsi="SimSun"/>
          <w:b/>
          <w:bCs/>
          <w:color w:val="1A1A18"/>
          <w:sz w:val="18"/>
          <w:szCs w:val="18"/>
        </w:rPr>
        <w:t xml:space="preserve">图 1　</w:t>
      </w:r>
      <w:r>
        <w:rPr>
          <w:rFonts w:ascii="SimSun" w:cs="SimSun" w:eastAsia="SimSun" w:hAnsi="SimSun"/>
          <w:color w:val="6B6A63"/>
          <w:sz w:val="18"/>
          <w:szCs w:val="18"/>
        </w:rPr>
        <w:t xml:space="preserve">由亚临界终态外推测定爆发阈值 </w:t>
      </w:r>
      <w:r>
        <w:rPr>
          <w:rFonts w:ascii="Cambria Math" w:cs="Cambria Math" w:eastAsia="Cambria Math" w:hAnsi="Cambria Math"/>
          <w:i/>
          <w:iCs/>
          <w:color w:val="6B6A63"/>
          <w:sz w:val="18"/>
          <w:szCs w:val="18"/>
        </w:rPr>
        <w:t xml:space="preserve">λc</w:t>
      </w:r>
      <w:r>
        <w:rPr>
          <w:rFonts w:ascii="SimSun" w:cs="SimSun" w:eastAsia="SimSun" w:hAnsi="SimSun"/>
          <w:color w:val="6B6A63"/>
          <w:sz w:val="18"/>
          <w:szCs w:val="18"/>
        </w:rPr>
        <w:t xml:space="preserve">，并与 ρ(N)=1 独立比对。(a) ε/R(∞) 随 λ/λc 线性趋零：散点为 ε→0 闭合终态，实线为窗口 [0.90,0.995]λc 的线性拟合，空心圆为 ρ(N)=1 预言。(b) 八组构型外推值与谱值落在对角线上，最大相对偏差 6×10⁻⁴。(c) 偏离的 σ 数，全部 ≤1.5σ（阴影为 ±1σ、±2σ）。</w:t>
      </w:r>
    </w:p>
    <w:p>
      <w:pPr>
        <w:spacing w:after="120" w:before="280"/>
      </w:pPr>
      <w:r>
        <w:rPr>
          <w:rFonts w:ascii="SimSun" w:cs="SimSun" w:eastAsia="SimSun" w:hAnsi="SimSun"/>
          <w:b/>
          <w:bCs/>
          <w:color w:val="1A1A18"/>
          <w:sz w:val="25"/>
          <w:szCs w:val="25"/>
        </w:rPr>
        <w:t xml:space="preserve">4  正确性核验</w:t>
      </w:r>
    </w:p>
    <w:p>
      <w:pPr>
        <w:spacing w:after="140" w:before="0" w:line="300"/>
        <w:ind w:firstLine="0"/>
      </w:pPr>
      <w:r>
        <w:rPr>
          <w:rFonts w:ascii="SimSun" w:cs="SimSun" w:eastAsia="SimSun" w:hAnsi="SimSun"/>
          <w:color w:val="1A1A18"/>
          <w:sz w:val="21"/>
          <w:szCs w:val="21"/>
        </w:rPr>
        <w:t xml:space="preserve">正文每一条论断都由不共享代码的独立核验支撑，全部通过（脚本 verify.py / verify_ode.py / datacheck.py / recheck_mc.py）。表 2 汇总解析锚点与闭合自检，表 3 汇总独立交叉验证。</w:t>
      </w:r>
    </w:p>
    <w:p>
      <w:pPr>
        <w:spacing w:after="60" w:before="80"/>
        <w:ind w:firstLine="0"/>
      </w:pPr>
      <w:r>
        <w:rPr>
          <w:rFonts w:ascii="SimSun" w:cs="SimSun" w:eastAsia="SimSun" w:hAnsi="SimSun"/>
          <w:i/>
          <w:iCs/>
          <w:color w:val="6B6A63"/>
          <w:sz w:val="18"/>
          <w:szCs w:val="18"/>
        </w:rPr>
        <w:t xml:space="preserve">表 2　解析锚点与闭合自检。</w:t>
      </w:r>
    </w:p>
    <w:tbl>
      <w:tblPr>
        <w:tblW w:type="dxa" w:w="9360"/>
        <w:jc w:val="center"/>
        <w:tblBorders>
          <w:top w:val="single" w:color="9A9A93" w:sz="6"/>
          <w:left w:val="none"/>
          <w:bottom w:val="single" w:color="9A9A93" w:sz="6"/>
          <w:right w:val="none"/>
          <w:insideH w:val="single" w:color="D9D9D2" w:sz="2"/>
          <w:insideV w:val="none"/>
        </w:tblBorders>
      </w:tblPr>
      <w:tblGrid>
        <w:gridCol w:w="3260"/>
        <w:gridCol w:w="2500"/>
        <w:gridCol w:w="2600"/>
        <w:gridCol w:w="1000"/>
      </w:tblGrid>
      <w:tr>
        <w:trPr>
          <w:cantSplit/>
          <w:tblHeader/>
        </w:trPr>
        <w:tc>
          <w:tcPr>
            <w:tcW w:type="dxa" w:w="3260"/>
            <w:shd w:fill="ECEBE4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b/>
                <w:bCs/>
                <w:color w:val="1A1A18"/>
                <w:sz w:val="18"/>
                <w:szCs w:val="18"/>
              </w:rPr>
              <w:t xml:space="preserve">核验项</w:t>
            </w:r>
          </w:p>
        </w:tc>
        <w:tc>
          <w:tcPr>
            <w:tcW w:type="dxa" w:w="2500"/>
            <w:shd w:fill="ECEBE4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18"/>
                <w:sz w:val="18"/>
                <w:szCs w:val="18"/>
              </w:rPr>
              <w:t xml:space="preserve">期望</w:t>
            </w:r>
          </w:p>
        </w:tc>
        <w:tc>
          <w:tcPr>
            <w:tcW w:type="dxa" w:w="2600"/>
            <w:shd w:fill="ECEBE4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18"/>
                <w:sz w:val="18"/>
                <w:szCs w:val="18"/>
              </w:rPr>
              <w:t xml:space="preserve">计算结果</w:t>
            </w:r>
          </w:p>
        </w:tc>
        <w:tc>
          <w:tcPr>
            <w:tcW w:type="dxa" w:w="1000"/>
            <w:shd w:fill="ECEBE4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18"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  <w:tblHeader w:val="false"/>
        </w:trPr>
        <w:tc>
          <w:tcPr>
            <w:tcW w:type="dxa" w:w="32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C(2,λ,1)=λ/(1+λ)</w:t>
            </w:r>
          </w:p>
        </w:tc>
        <w:tc>
          <w:tcPr>
            <w:tcW w:type="dxa" w:w="25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精确</w:t>
            </w:r>
          </w:p>
        </w:tc>
        <w:tc>
          <w:tcPr>
            <w:tcW w:type="dxa" w:w="26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λ=0.13/0.35/1/2 到 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−12</w:t>
            </w:r>
          </w:p>
        </w:tc>
        <w:tc>
          <w:tcPr>
            <w:tcW w:type="dxa" w:w="1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C(3,4,5; λ=1) 超出 (m−1)T</w:t>
            </w:r>
          </w:p>
        </w:tc>
        <w:tc>
          <w:tcPr>
            <w:tcW w:type="dxa" w:w="25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11 / 22 / 31 %</w:t>
            </w:r>
          </w:p>
        </w:tc>
        <w:tc>
          <w:tcPr>
            <w:tcW w:type="dxa" w:w="26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11.11 / 21.53 / 31.05 %</w:t>
            </w:r>
          </w:p>
        </w:tc>
        <w:tc>
          <w:tcPr>
            <w:tcW w:type="dxa" w:w="10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θ≥2 单种子</w:t>
            </w:r>
          </w:p>
        </w:tc>
        <w:tc>
          <w:tcPr>
            <w:tcW w:type="dxa" w:w="25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C = 0</w:t>
            </w:r>
          </w:p>
        </w:tc>
        <w:tc>
          <w:tcPr>
            <w:tcW w:type="dxa" w:w="26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Anchor A：m=(3,3), λ=0.13</w:t>
            </w:r>
          </w:p>
        </w:tc>
        <w:tc>
          <w:tcPr>
            <w:tcW w:type="dxa" w:w="25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ρ=1.013</w:t>
            </w:r>
          </w:p>
        </w:tc>
        <w:tc>
          <w:tcPr>
            <w:tcW w:type="dxa" w:w="26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N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bscript"/>
              </w:rPr>
              <w:t xml:space="preserve">11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=0.3860, ρ=1.0132</w:t>
            </w:r>
          </w:p>
        </w:tc>
        <w:tc>
          <w:tcPr>
            <w:tcW w:type="dxa" w:w="10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成对退化 5-正则</w:t>
            </w:r>
          </w:p>
        </w:tc>
        <w:tc>
          <w:tcPr>
            <w:tcW w:type="dxa" w:w="25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λc=1/3</w:t>
            </w:r>
          </w:p>
        </w:tc>
        <w:tc>
          <w:tcPr>
            <w:tcW w:type="dxa" w:w="26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0.3333333333</w:t>
            </w:r>
          </w:p>
        </w:tc>
        <w:tc>
          <w:tcPr>
            <w:tcW w:type="dxa" w:w="1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Anchor B：θ=2 通道</w:t>
            </w:r>
          </w:p>
        </w:tc>
        <w:tc>
          <w:tcPr>
            <w:tcW w:type="dxa" w:w="25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阈值不变</w:t>
            </w:r>
          </w:p>
        </w:tc>
        <w:tc>
          <w:tcPr>
            <w:tcW w:type="dxa" w:w="26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C=0，精确出列</w:t>
            </w:r>
          </w:p>
        </w:tc>
        <w:tc>
          <w:tcPr>
            <w:tcW w:type="dxa" w:w="10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求和规则 / 恒等式</w:t>
            </w:r>
          </w:p>
        </w:tc>
        <w:tc>
          <w:tcPr>
            <w:tcW w:type="dxa" w:w="25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≈ 0</w:t>
            </w:r>
          </w:p>
        </w:tc>
        <w:tc>
          <w:tcPr>
            <w:tcW w:type="dxa" w:w="26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残差 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−17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 / 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−12</w:t>
            </w:r>
          </w:p>
        </w:tc>
        <w:tc>
          <w:tcPr>
            <w:tcW w:type="dxa" w:w="10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通过</w:t>
            </w:r>
          </w:p>
        </w:tc>
      </w:tr>
      <w:tr>
        <w:trPr>
          <w:cantSplit/>
          <w:tblHeader w:val="false"/>
        </w:trPr>
        <w:tc>
          <w:tcPr>
            <w:tcW w:type="dxa" w:w="326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无病态 Jacobian 谱横标</w:t>
            </w:r>
          </w:p>
        </w:tc>
        <w:tc>
          <w:tcPr>
            <w:tcW w:type="dxa" w:w="25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0 at λc</w:t>
            </w:r>
          </w:p>
        </w:tc>
        <w:tc>
          <w:tcPr>
            <w:tcW w:type="dxa" w:w="26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0（机器精度）</w:t>
            </w:r>
          </w:p>
        </w:tc>
        <w:tc>
          <w:tcPr>
            <w:tcW w:type="dxa" w:w="10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1A1A18"/>
                <w:sz w:val="18"/>
                <w:szCs w:val="18"/>
              </w:rPr>
              <w:t xml:space="preserve">通过</w:t>
            </w:r>
          </w:p>
        </w:tc>
      </w:tr>
    </w:tbl>
    <w:p>
      <w:pPr>
        <w:spacing w:after="60" w:before="130"/>
        <w:ind w:firstLine="0"/>
      </w:pPr>
      <w:r>
        <w:rPr>
          <w:rFonts w:ascii="SimSun" w:cs="SimSun" w:eastAsia="SimSun" w:hAnsi="SimSun"/>
          <w:i/>
          <w:iCs/>
          <w:color w:val="6B6A63"/>
          <w:sz w:val="18"/>
          <w:szCs w:val="18"/>
        </w:rPr>
        <w:t xml:space="preserve">表 3　独立交叉验证。</w:t>
      </w:r>
    </w:p>
    <w:tbl>
      <w:tblPr>
        <w:tblW w:type="dxa" w:w="9360"/>
        <w:jc w:val="center"/>
        <w:tblBorders>
          <w:top w:val="single" w:color="9A9A93" w:sz="6"/>
          <w:left w:val="none"/>
          <w:bottom w:val="single" w:color="9A9A93" w:sz="6"/>
          <w:right w:val="none"/>
          <w:insideH w:val="single" w:color="D9D9D2" w:sz="2"/>
          <w:insideV w:val="none"/>
        </w:tblBorders>
      </w:tblPr>
      <w:tblGrid>
        <w:gridCol w:w="2900"/>
        <w:gridCol w:w="3050"/>
        <w:gridCol w:w="3410"/>
      </w:tblGrid>
      <w:tr>
        <w:trPr>
          <w:cantSplit/>
          <w:tblHeader/>
        </w:trPr>
        <w:tc>
          <w:tcPr>
            <w:tcW w:type="dxa" w:w="2900"/>
            <w:shd w:fill="ECEBE4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b/>
                <w:bCs/>
                <w:color w:val="1A1A18"/>
                <w:sz w:val="18"/>
                <w:szCs w:val="18"/>
              </w:rPr>
              <w:t xml:space="preserve">检验</w:t>
            </w:r>
          </w:p>
        </w:tc>
        <w:tc>
          <w:tcPr>
            <w:tcW w:type="dxa" w:w="3050"/>
            <w:shd w:fill="ECEBE4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18"/>
                <w:sz w:val="18"/>
                <w:szCs w:val="18"/>
              </w:rPr>
              <w:t xml:space="preserve">方法</w:t>
            </w:r>
          </w:p>
        </w:tc>
        <w:tc>
          <w:tcPr>
            <w:tcW w:type="dxa" w:w="3410"/>
            <w:shd w:fill="ECEBE4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1A1A18"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闭合终态 = 分支公式</w:t>
            </w:r>
          </w:p>
        </w:tc>
        <w:tc>
          <w:tcPr>
            <w:tcW w:type="dxa" w:w="30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χ_ODE vs 1+1ᵀ(I−Nᵀ)⁻¹g</w:t>
            </w:r>
          </w:p>
        </w:tc>
        <w:tc>
          <w:tcPr>
            <w:tcW w:type="dxa" w:w="34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≤1.0×10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−3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；ε→0 收敛到 1.1×10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−5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级联 C 独立复核</w:t>
            </w:r>
          </w:p>
        </w:tc>
        <w:tc>
          <w:tcPr>
            <w:tcW w:type="dxa" w:w="305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单群体 Gillespie，10⁶ 抽样</w:t>
            </w:r>
          </w:p>
        </w:tc>
        <w:tc>
          <w:tcPr>
            <w:tcW w:type="dxa" w:w="341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≤1σ 吻合（含 m=2 解析、θ≥2）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终态 t_max 收敛</w:t>
            </w:r>
          </w:p>
        </w:tc>
        <w:tc>
          <w:tcPr>
            <w:tcW w:type="dxa" w:w="305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t_max ∈ [2×10⁴, 1.2×10⁵]</w:t>
            </w:r>
          </w:p>
        </w:tc>
        <w:tc>
          <w:tcPr>
            <w:tcW w:type="dxa" w:w="3410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χ 不变；残余激活质量 ≤10</w:t>
            </w:r>
            <w:r>
              <w:rPr>
                <w:rFonts w:ascii="SimSun" w:cs="SimSun" w:eastAsia="SimSun" w:hAnsi="SimSun"/>
                <w:color w:val="1A1A18"/>
                <w:sz w:val="18"/>
                <w:szCs w:val="18"/>
                <w:vertAlign w:val="superscript"/>
              </w:rPr>
              <w:t xml:space="preserve">−20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left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ρ(λ) 单调 / 过阈</w:t>
            </w:r>
          </w:p>
        </w:tc>
        <w:tc>
          <w:tcPr>
            <w:tcW w:type="dxa" w:w="305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扫描 + ε=0.02</w:t>
            </w:r>
          </w:p>
        </w:tc>
        <w:tc>
          <w:tcPr>
            <w:tcW w:type="dxa" w:w="3410"/>
            <w:shd w:fill="F7F6F2" w:val="clear"/>
            <w:tcMar>
              <w:top w:type="dxa" w:w="44"/>
              <w:left w:type="dxa" w:w="90"/>
              <w:bottom w:type="dxa" w:w="44"/>
              <w:right w:type="dxa" w:w="90"/>
            </w:tcMar>
          </w:tcPr>
          <w:p>
            <w:pPr>
              <w:spacing w:after="0" w:line="248"/>
              <w:ind w:firstLine="0"/>
              <w:jc w:val="center"/>
            </w:pPr>
            <w:r>
              <w:rPr>
                <w:rFonts w:ascii="SimSun" w:cs="SimSun" w:eastAsia="SimSun" w:hAnsi="SimSun"/>
                <w:color w:val="1A1A18"/>
                <w:sz w:val="18"/>
                <w:szCs w:val="18"/>
              </w:rPr>
              <w:t xml:space="preserve">严格递增；亚临界 O(ε)，超临界 O(1)</w:t>
            </w:r>
          </w:p>
        </w:tc>
      </w:tr>
    </w:tbl>
    <w:p>
      <w:pPr>
        <w:pBdr>
          <w:bottom w:val="single" w:color="D8D8D2" w:sz="6"/>
        </w:pBdr>
        <w:spacing w:after="140" w:before="40"/>
      </w:pPr>
    </w:p>
    <w:p>
      <w:pPr>
        <w:spacing w:after="0" w:before="0" w:line="300"/>
        <w:ind w:firstLine="0"/>
      </w:pPr>
      <w:r>
        <w:rPr>
          <w:rFonts w:ascii="SimSun" w:cs="SimSun" w:eastAsia="SimSun" w:hAnsi="SimSun"/>
          <w:b/>
          <w:bCs/>
          <w:color w:val="1A1A18"/>
        </w:rPr>
        <w:t xml:space="preserve">结论：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由亚临界终态外推得到的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ρ(N)=1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 在八组构型上一致到 </w:t>
      </w:r>
      <w:r>
        <w:rPr>
          <w:rFonts w:ascii="Cambria Math" w:cs="Cambria Math" w:eastAsia="Cambria Math" w:hAnsi="Cambria Math"/>
          <w:color w:val="1A1A18"/>
          <w:sz w:val="21"/>
          <w:szCs w:val="21"/>
        </w:rPr>
        <w:t xml:space="preserve">6×10</w:t>
      </w:r>
      <w:r>
        <w:rPr>
          <w:rFonts w:ascii="Cambria Math" w:cs="Cambria Math" w:eastAsia="Cambria Math" w:hAnsi="Cambria Math"/>
          <w:color w:val="1A1A18"/>
          <w:sz w:val="21"/>
          <w:szCs w:val="21"/>
          <w:vertAlign w:val="superscript"/>
        </w:rPr>
        <w:t xml:space="preserve">−4</w:t>
      </w:r>
      <w:r>
        <w:rPr>
          <w:rFonts w:ascii="SimSun" w:cs="SimSun" w:eastAsia="SimSun" w:hAnsi="SimSun"/>
          <w:color w:val="1A1A18"/>
          <w:sz w:val="21"/>
          <w:szCs w:val="21"/>
        </w:rPr>
        <w:t xml:space="preserve">、全部 ≤1.5σ；这是对爆发阈值的一次全非线性、独立确认，与数值 Jacobian 复核（只检验线性化谱）互补。</w:t>
      </w:r>
    </w:p>
    <w:sectPr>
      <w:pgSz w:w="11906" w:h="16838" w:orient="portrait"/>
      <w:pgMar w:top="12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color w:val="1A1A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0a0acb9e23aa5c1c48bb1d88c60f5ecccb0ed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2026-08-16T03:17:47.355Z</dcterms:created>
  <dcterms:modified xsi:type="dcterms:W3CDTF">2026-08-16T03:17:47.356Z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