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不可由保度重连调节（数值确认，变化恰为 0）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确认</w:t>
            </w:r>
            <w:r>
              <w:rPr>
                <w:rFonts w:ascii="Times New Roman" w:cs="Times New Roman" w:eastAsia="SimSun" w:hAnsi="Times New Roman"/>
              </w:rPr>
              <w:t xml:space="preserve">大纲把 V.3（标签置换调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）与 V.2/V.4（重连调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）分开是对的，二者不可合并；第 3 周实现时须保持这一分工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序参量必须取爆发概率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与条件爆发规模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  <w:b/>
          <w:bCs/>
        </w:rPr>
        <w:t xml:space="preserve">，不能取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——已数值确认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在任何结构上都不破缺（命题 2），用它做实验会得到一片零信号；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、固定双度序列互换对称；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只扫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Δα=1/2(α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-α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，把破缺单独归因到它；同时报告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守恒，作为内部一致性检查；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不破缺——</w:t>
      </w:r>
      <w:r>
        <w:rPr>
          <w:rFonts w:ascii="Times New Roman" w:cs="Times New Roman" w:eastAsia="SimSun" w:hAnsi="Times New Roman"/>
          <w:b/>
          <w:bCs/>
        </w:rPr>
        <w:t xml:space="preserve">注意对照必须做在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上，做在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  <w:b/>
          <w:bCs/>
        </w:rPr>
        <w:t xml:space="preserve"> 上则毫无信息量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设计简化（试点确认）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-偶的，成对 H-vs-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H 比较不受其漂移干扰，故</w:t>
      </w:r>
      <w:r>
        <w:rPr>
          <w:rFonts w:ascii="Times New Roman" w:cs="Times New Roman" w:eastAsia="SimSun" w:hAnsi="Times New Roman"/>
          <w:b/>
          <w:bCs/>
        </w:rPr>
        <w:t xml:space="preserve">存在性检验不需要钉住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（可用无约束驱动，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达 0.075–0.114）；钉住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只在跨系综扫描线上必要，而约束下可达范围仅 ~0.035，统计量要求相应提高；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  <w:b/>
          <w:bCs/>
        </w:rPr>
        <w:t xml:space="preserve"> 注意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=300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 w:val="false"/>
          <w:iCs w:val="false"/>
        </w:rPr>
        <w:t xml:space="preserve">[0.05,0.15]</w:t>
      </w:r>
      <w:r>
        <w:rPr>
          <w:rFonts w:ascii="Times New Roman" w:cs="Times New Roman" w:eastAsia="SimSun" w:hAnsi="Times New Roman"/>
        </w:rPr>
        <w:t xml:space="preserve"> 区间仍含 8–10% 的运行，双峰间隙不干净；生产运行须用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≥10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（大纲自检规模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=3000</w:t>
      </w:r>
      <w:r>
        <w:rPr>
          <w:rFonts w:ascii="Times New Roman" w:cs="Times New Roman" w:eastAsia="SimSun" w:hAnsi="Times New Roman"/>
        </w:rPr>
        <w:t xml:space="preserve"> 也偏小），并报告结果对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的敏感性；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  <w:r>
        <w:rPr>
          <w:rFonts w:ascii="Times New Roman" w:cs="Times New Roman" w:eastAsia="SimSun" w:hAnsi="Times New Roman"/>
          <w:b/>
          <w:bCs/>
        </w:rPr>
        <w:t xml:space="preserve">端点已数值验证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λ=500</w:t>
      </w:r>
      <w:r>
        <w:rPr>
          <w:rFonts w:ascii="Times New Roman" w:cs="Times New Roman" w:eastAsia="SimSun" w:hAnsi="Times New Roman"/>
        </w:rPr>
        <w:t xml:space="preserve"> 时 Gillespie 终态与确定性可达集逐种子完全一致（150 个种子最大偏差 0.0000，见 </w:t>
      </w:r>
      <w:r>
        <w:rPr>
          <w:rFonts w:ascii="Consolas" w:eastAsia="SimSun" w:hAnsi="Consolas"/>
        </w:rPr>
        <w:t xml:space="preserve">tools/feasibility_check.py</w:t>
      </w:r>
      <w:r>
        <w:rPr>
          <w:rFonts w:ascii="Times New Roman" w:cs="Times New Roman" w:eastAsia="SimSun" w:hAnsi="Times New Roman"/>
        </w:rPr>
        <w:t xml:space="preserve">），两方法的共同极限存在且已知；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预跑已解除大半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预跑（</w:t>
            </w:r>
            <w:r>
              <w:rPr>
                <w:rFonts w:ascii="Consolas" w:eastAsia="SimSun" w:hAnsi="Consolas"/>
              </w:rPr>
              <w:t xml:space="preserve">tools/feasibility_check.py</w:t>
            </w:r>
            <w:r>
              <w:rPr>
                <w:rFonts w:ascii="Times New Roman" w:cs="Times New Roman" w:eastAsia="SimSun" w:hAnsi="Times New Roman"/>
              </w:rPr>
              <w:t xml:space="preserve">）：超度均场对阈值邻域条件爆发规模的误差达 87–146%，且 N=150→300 不消失——改进空间充足。第 1 周仍按早停判据正式复测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破缺序参量选错（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恒不破缺）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已解决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(Π,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̄)</w:t>
            </w:r>
            <w:r>
              <w:rPr>
                <w:rFonts w:ascii="Times New Roman" w:cs="Times New Roman" w:eastAsia="SimSun" w:hAnsi="Times New Roman"/>
              </w:rPr>
              <w:t xml:space="preserve">；见 </w:t>
            </w:r>
            <w:r>
              <w:rPr>
                <w:rFonts w:ascii="Consolas" w:eastAsia="SimSun" w:hAnsi="Consolas"/>
              </w:rPr>
              <w:t xml:space="preserve">tools/breaking_observable.py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 驱动的破缺可能太弱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现最高风险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试点（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=160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Δα=0.075</w:t>
            </w:r>
            <w:r>
              <w:rPr>
                <w:rFonts w:ascii="Times New Roman" w:cs="Times New Roman" w:eastAsia="SimSun" w:hAnsi="Times New Roman"/>
              </w:rPr>
              <w:t xml:space="preserve">、超临界区、每点 2200 对）：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Π</w:t>
            </w:r>
            <w:r>
              <w:rPr>
                <w:rFonts w:ascii="Times New Roman" w:cs="Times New Roman" w:eastAsia="SimSun" w:hAnsi="Times New Roman"/>
              </w:rPr>
              <w:t xml:space="preserve"> 差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符号三点全部与预言一致但仅 ~1σ</w:t>
            </w:r>
            <w:r>
              <w:rPr>
                <w:rFonts w:ascii="Times New Roman" w:cs="Times New Roman" w:eastAsia="SimSun" w:hAnsi="Times New Roman"/>
              </w:rPr>
              <w:t xml:space="preserve">。第 4 周须在阈值邻域、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≥10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3</w:t>
            </w:r>
            <w:r>
              <w:rPr>
                <w:rFonts w:ascii="Times New Roman" w:cs="Times New Roman" w:eastAsia="SimSun" w:hAnsi="Times New Roman"/>
              </w:rPr>
              <w:t xml:space="preserve">、更大统计量下定论。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回退方案</w:t>
            </w:r>
            <w:r>
              <w:rPr>
                <w:rFonts w:ascii="Times New Roman" w:cs="Times New Roman" w:eastAsia="SimSun" w:hAnsi="Times New Roman"/>
              </w:rPr>
              <w:t xml:space="preserve">：序列不对称驱动的破缺已 20σ 确认，若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效应过弱，C4 改述为"序列驱动破缺 +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效应上界"，仍可发表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2026-08-09T01:23:39.577Z</dcterms:created>
  <dcterms:modified xsi:type="dcterms:W3CDTF">2026-08-09T01:23:39.577Z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