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[7]，唯一的替换是把余度生成函数换成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；(38) 与 (35)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上均无法用肉眼区分，包括峰高与峰位；均场则把峰值抬高约一倍并提前约两个时间单位。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置信区间（窄于线宽）；蓝虚线为并发型 EBCM (29)，橙点线为均场闭合 (39)。(a)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(38)。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(41)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自身的限度，须如实报告。深超临界区（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）与深亚临界区的偏差在 </w:t>
      </w:r>
      <w:r>
        <w:rPr>
          <w:rFonts w:ascii="Cambria Math" w:eastAsia="SimSun" w:hAnsi="Cambria Math"/>
          <w:i w:val="false"/>
          <w:iCs w:val="false"/>
        </w:rPr>
        <w:t xml:space="preserve">0.7%</w:t>
      </w:r>
      <w:r>
        <w:rPr>
          <w:rFonts w:ascii="Times New Roman" w:cs="Times New Roman" w:eastAsia="SimSun" w:hAnsi="Times New Roman"/>
        </w:rPr>
        <w:t xml:space="preserve"> 以内，但在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系统性高估约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(38) 逐点吻合。需要说明，图 2(c) 的纵轴由 (35)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(38)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(42)。均场阈值 (40)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2026-08-09T13:41:58.227Z</dcterms:created>
  <dcterms:modified xsi:type="dcterms:W3CDTF">2026-08-09T13:41:58.237Z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