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摘要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现实中的高阶交互往往是有向的：施加影响的一方与接受影响的一方并不对称。我们在有向超图上建立 SIR 模型并求解其简单传播分支。每条超边分为不相交的尾集与头集；尾集中被感染的成员数达到群体阈值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时超边激活，以速率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 向头集中每个易感节点传递，感染者以速率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康复，控制参数 </w:t>
      </w:r>
      <w:r>
        <w:rPr>
          <w:rFonts w:ascii="Cambria Math" w:eastAsia="SimSun" w:hAnsi="Cambria Math"/>
          <w:i w:val="false"/>
          <w:iCs w:val="false"/>
        </w:rPr>
        <w:t xml:space="preserve">λ=β/μ</w:t>
      </w:r>
      <w:r>
        <w:rPr>
          <w:rFonts w:ascii="Times New Roman" w:cs="Times New Roman" w:eastAsia="SimSun" w:hAnsi="Times New Roman"/>
        </w:rPr>
        <w:t xml:space="preserve">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时的技术困难在于一条超边只有一个激活时钟却由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个尾成员共同驱动——激活时长是各成员感染期之并，闭合变量不能逐成员相乘。以尾集中易感、感染、康复的成员计数为状态，可把"尚未传递"写成一条以传递事件为消灭机制的 Markov 链，得到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(τ+2, 2)+1</w:t>
      </w:r>
      <w:r>
        <w:rPr>
          <w:rFonts w:ascii="Times New Roman" w:cs="Times New Roman" w:eastAsia="SimSun" w:hAnsi="Times New Roman"/>
        </w:rPr>
        <w:t xml:space="preserve"> 维、与系统规模无关的闭方程组，其解给出完整的含时演化；终态在 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时另有闭式，</w:t>
      </w:r>
      <w:r>
        <w:rPr>
          <w:rFonts w:ascii="Cambria Math" w:eastAsia="SimSun" w:hAnsi="Cambria Math"/>
          <w:i w:val="false"/>
          <w:iCs w:val="false"/>
        </w:rPr>
        <w:t xml:space="preserve">τ≥2</w:t>
      </w:r>
      <w:r>
        <w:rPr>
          <w:rFonts w:ascii="Times New Roman" w:cs="Times New Roman" w:eastAsia="SimSun" w:hAnsi="Times New Roman"/>
        </w:rPr>
        <w:t xml:space="preserve"> 时须由方程组积分。线性化给出爆发阈值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=1/(τκ-1)</w:t>
      </w:r>
      <w:r>
        <w:rPr>
          <w:rFonts w:ascii="Times New Roman" w:cs="Times New Roman" w:eastAsia="SimSun" w:hAnsi="Times New Roman"/>
        </w:rPr>
        <w:t xml:space="preserve">，其中 </w:t>
      </w:r>
      <w:r>
        <w:rPr>
          <w:rFonts w:ascii="Cambria Math" w:eastAsia="SimSun" w:hAnsi="Cambria Math"/>
          <w:i w:val="false"/>
          <w:iCs w:val="false"/>
        </w:rPr>
        <w:t xml:space="preserve">κ=⟨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；</w:t>
      </w:r>
      <w:r>
        <w:rPr>
          <w:rFonts w:ascii="Cambria Math" w:eastAsia="SimSun" w:hAnsi="Cambria Math"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</w:rPr>
        <w:t xml:space="preserve"> 时它退化为有向随机图上 SIR 的已知结果。阈值经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依赖于入出度相关，却与超边重叠无关——后者是树状闭合的一条可证伪推论。与精确 Gillespie 仿真比较，闭合对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的偏差随系统规模趋零，而同一模型的度均场把阈值压低到 </w:t>
      </w:r>
      <w:r>
        <w:rPr>
          <w:rFonts w:ascii="Cambria Math" w:eastAsia="SimSun" w:hAnsi="Cambria Math"/>
          <w:i w:val="false"/>
          <w:iCs w:val="false"/>
        </w:rPr>
        <w:t xml:space="preserve">0.75λ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，在真实的亚临界区就给出宏观爆发，其偏差收敛到非零平台；阈值本身由亚临界终态外推独立测得，与解析值相差 </w:t>
      </w:r>
      <w:r>
        <w:rPr>
          <w:rFonts w:ascii="Cambria Math" w:eastAsia="SimSun" w:hAnsi="Cambria Math"/>
          <w:i w:val="false"/>
          <w:iCs w:val="false"/>
        </w:rPr>
        <w:t xml:space="preserve">1.4σ</w:t>
      </w:r>
      <w:r>
        <w:rPr>
          <w:rFonts w:ascii="Times New Roman" w:cs="Times New Roman" w:eastAsia="SimSun" w:hAnsi="Times New Roman"/>
        </w:rPr>
        <w:t xml:space="preserve">。模型另给出两个与直觉相反的结构结论：均匀单种子下的平均爆发规模几乎不能探测方向对称性破缺，须改用爆发概率与条件爆发规模；方向翻转下的奇宇称是破缺的必要而远非充分条件。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时激活不再是单条超边的独立事件，模型转入 bootstrap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型渗流，另行处理。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关键词.</w:t>
      </w:r>
      <w:r>
        <w:rPr>
          <w:rFonts w:ascii="Times New Roman" w:cs="Times New Roman" w:eastAsia="SimSun" w:hAnsi="Times New Roman"/>
        </w:rPr>
        <w:t xml:space="preserve"> 有向超图，高阶交互，SIR 传播，边基房室模型，空腔方法，生成函数，渗流，爆发阈值，方向对称性破缺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MSC 分类号.</w:t>
      </w:r>
      <w:r>
        <w:rPr>
          <w:rFonts w:ascii="Times New Roman" w:cs="Times New Roman" w:eastAsia="SimSun" w:hAnsi="Times New Roman"/>
        </w:rPr>
        <w:t xml:space="preserve"> 05C65, 05C20, 05C80, 92D30, 60J28, 82B43, 37N25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1. 引言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许多传染并非沿边逐个发生，而是在一个群体内集体发生 [3, 4]，这类高阶交互在真实数据中普遍存在 [6]。但群体交互往往是有向的：施加影响的一方与接受影响的一方并不对称。代谢反应把一组底物转化为一组产物 [22]，比特币交易与引用数据同样是一组主体指向另一组 [28]。有向超图正是为刻画这种不对称而设的形式化——每条超边分为施加影响的尾集与接受影响的头集（二者不相交），这一结构在算法与运筹领域已使用三十余年 [15]。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已有的理论工具恰好绕开了这个交叉点。成对网络上的 SIR 已由两条彼此独立的路径解决：渗流给出阈值与终态 [17, 35, 37]——临界占据概率为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⟩/(⟨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⟩-⟨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⟩)</w:t>
      </w:r>
      <w:r>
        <w:rPr>
          <w:rFonts w:ascii="Times New Roman" w:cs="Times New Roman" w:eastAsia="SimSun" w:hAnsi="Times New Roman"/>
        </w:rPr>
        <w:t xml:space="preserve">，二阶矩发散时趋零，无标度网络上的 SIS 模型给出过同一结论 [38]；方程给出峰值与时间演化——Volz 的低维闭合 [44] 经 Miller 等整理为边基房室模型（EBCM），以"沿一条边尚未传来感染"的概率为核心变量 [33]；二者可相互印证 [39]。方向性作为成对网络的属性也已处理成熟：有向随机图各巨分支的规模由入出度联合分布决定 [11]，阈值与分支规模可解析求出 [8, 32]，且再生数经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依赖于入出度的相关 [2]。高阶交互一侧同样成果丰富：单纯复形与超图上的传播可出现不连续相变与双稳 [13, 18, 40]，结构的影响也已刻画——链接度异质性抑制爆炸式相变 [25]，超核分解给出局域化的中心性 [31]，高阶连通分支的巨分支是单种子全局爆发的必要条件 [21]，最佳种子群体已被刻画 [41]，而超边重叠决定转变是否爆炸式且方向与直觉相反 [24, 29, 30]，超图渗流理论亦已建立 [7, 14]。两条线索各自成熟，却始终没有相交：处理方向性的工作都停留在成对网络，处理高阶交互的工作则都假设超边无向。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有向超图上，结构刻画的工具近年已迅速成型——真实数据的微观组织与高阶互惠性 [20, 28]、重叠测度 [26]、位形模型与保度随机化 [10, 34]、保入出度序列的均匀采样 [1, 23]。动力学一侧则少得多，据我们所知以 Li 等的工作为主：他们在有向超图上建立社会传播模型，发现双稳区间随有向强度减弱而收缩 [27]。该工作采用均场闭合，方向性由单一标量参数调节。均场忽略邻域相关，误差在阈值邻域最大；成对网络上正是 EBCM 补上了这一层 [33, 44]。因此，有向超图上的传播阈值如何依赖于结构，据我们所知尚无超出均场的含时理论，也无可供解析扫描的渗流理论。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本文建立并求解有向超图上的 SIR 模型。第 2 节定义模型：尾集中被感染的成员数达到群体阈值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时超边激活，以速率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 向头集中每个易感节点传递，感染者以速率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康复，控制参数为 </w:t>
      </w:r>
      <w:r>
        <w:rPr>
          <w:rFonts w:ascii="Cambria Math" w:eastAsia="SimSun" w:hAnsi="Cambria Math"/>
          <w:i w:val="false"/>
          <w:iCs w:val="false"/>
        </w:rPr>
        <w:t xml:space="preserve">λ=β/μ</w:t>
      </w:r>
      <w:r>
        <w:rPr>
          <w:rFonts w:ascii="Times New Roman" w:cs="Times New Roman" w:eastAsia="SimSun" w:hAnsi="Times New Roman"/>
        </w:rPr>
        <w:t xml:space="preserve">；非指数康复期会显著改变成对网络的流行阈值 [43]，其推广见附录。第 3 节给出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的并发型 EBCM 方程。技术困难在于一条超边只有一个激活时钟却由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个尾成员共同驱动——激活时长是各成员感染期之并，因而闭合变量不能逐成员相乘。以尾集中易感、感染、康复的成员计数为状态，可把"尚未传递"写成一条以传递事件为消灭机制的 Markov 链——等价于给该链添一个"已传递"的吸收态——得到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(τ+2, 2)+1</w:t>
      </w:r>
      <w:r>
        <w:rPr>
          <w:rFonts w:ascii="Times New Roman" w:cs="Times New Roman" w:eastAsia="SimSun" w:hAnsi="Times New Roman"/>
        </w:rPr>
        <w:t xml:space="preserve"> 维、与系统规模无关的闭方程组。爆发条件由线性化给出，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=1/(τκ-1)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 w:val="false"/>
          <w:iCs w:val="false"/>
        </w:rPr>
        <w:t xml:space="preserve">κ=⟨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；</w:t>
      </w:r>
      <w:r>
        <w:rPr>
          <w:rFonts w:ascii="Cambria Math" w:eastAsia="SimSun" w:hAnsi="Cambria Math"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</w:rPr>
        <w:t xml:space="preserve"> 时退化为有向随机图的已知阈值 [2, 32]。阈值经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依赖于入出度相关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，却与超边重叠无关——这不是疏漏，而是树状闭合的一条可证伪推论。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的作用方向依传播机制而异，须分别对待：有向网络的阈值型级联中，正的入出度相关在较宽的平均入度范围内提高系统稳健性 [46]，与本文的 SIR 结果相反。原因在于阈值模型按活跃邻居的比例判定激活，高入度因而抬高激活门槛，而 SIR 中高入度只增加暴露。与精确 Gillespie 仿真 [16] 比较，闭合的偏差随系统规模趋零，均场的不然：它把阈值压低四分之一，在真实的亚临界区就给出宏观爆发。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第 4 节转向渗流一侧，把成对网络上的 SIR–渗流映射及其半有向修正 [19, 37] 与有向渗流的生成函数机制 [8, 11] 推广到有向超图。两条路径互不依赖，因而可互为验证；我们进一步证明二者的自洽方程在 </w:t>
      </w:r>
      <w:r>
        <w:rPr>
          <w:rFonts w:ascii="Cambria Math" w:eastAsia="SimSun" w:hAnsi="Cambria Math"/>
          <w:i w:val="false"/>
          <w:iCs w:val="false"/>
        </w:rPr>
        <w:t xml:space="preserve">μ→0</w:t>
      </w:r>
      <w:r>
        <w:rPr>
          <w:rFonts w:ascii="Times New Roman" w:cs="Times New Roman" w:eastAsia="SimSun" w:hAnsi="Times New Roman"/>
        </w:rPr>
        <w:t xml:space="preserve"> 极限下同构。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时激活不再是单条超边的独立事件，模型转入 bootstrap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型渗流，其相变结构不同于普通渗流 [5, 12, 42]，亦在该节处理。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为使结构依赖可被受控地检验，第 2 节给出有向超边重叠的可计算定义：对每一对有序超边构造 </w:t>
      </w:r>
      <w:r>
        <w:rPr>
          <w:rFonts w:ascii="Cambria Math" w:eastAsia="SimSun" w:hAnsi="Cambria Math"/>
          <w:i w:val="false"/>
          <w:iCs w:val="false"/>
        </w:rPr>
        <w:t xml:space="preserve">2×2</w:t>
      </w:r>
      <w:r>
        <w:rPr>
          <w:rFonts w:ascii="Times New Roman" w:cs="Times New Roman" w:eastAsia="SimSun" w:hAnsi="Times New Roman"/>
        </w:rPr>
        <w:t xml:space="preserve"> 列联矩阵，四个通道分别对应共享节点同为尾成员、同为头成员、或一为头一为尾。四通道之和精确等于无向重叠，因而结果可与无向文献直接对照 [24, 30]；互惠方向另采用文献中的强互惠判据 [28]。入出度相关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与重叠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作用在生成流程的不同环节，因而可独立扫描；零模型基线取自已有的均匀采样器 [1, 23]。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方向对称性破缺的分析（第 II、VI 节）给出两个与直觉相反的结果。其一，均匀单种子下的平均爆发规模几乎不能用来探测破缺：可达有序对的总数在方向翻转下近乎守恒，翻转真正改变的是这些可达对如何分配——大爆发的概率由巨入分支决定、终态规模由巨出分支决定，而翻转恰好交换二者 [2, 19]。我们因而以爆发概率与条件爆发规模为序参量。其二，翻转奇是破缺的必要条件却远非充分：双度序列的不对称驱动的破缺是数十个标准差的效应，而同样翻转奇的重叠极性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效应始终不可分辨，我们只能给出上界。破缺因而由分支结构的不对称驱动，而非由重叠的极性驱动。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本文余下部分安排如下。第 2 节给出模型定义、有向超边重叠的可计算形式，以及结构量在方向翻转下的宇称分类。第 3 节推导并发型 EBCM 方程并给出仿真校验。第 4 节建立渗流映射与生成函数阈值理论。第 5 节介绍保度生成与定向重连工具。第 6 节给出阈值对结构参数的依赖、方向对称性破缺，以及两方法的交叉验证。第 7 节在真实有向超图数据上检验模型。第 8 节为讨论与结论。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2. 模型与结构量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2.1. 有向超图与记号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有向超图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由节点集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）与超边集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）构成。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为集合，即不含重复超边；第 5 节的生成器在配对后显式修复重复超边与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相交的违规。每条超边是一个有序对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)⊆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)=∅</w:t>
      </w:r>
      <w:r>
        <w:rPr>
          <w:rFonts w:ascii="Cambria Math" w:eastAsia="SimSun" w:hAnsi="Cambria Math"/>
          <w:sz w:val="21"/>
          <w:szCs w:val="21"/>
        </w:rPr>
        <w:t xml:space="preserve">	(2.1)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其中尾集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为施加影响的一方，头集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为接受影响的一方。二者不相交，这既排除了自作用，也是后文重叠退化关系 (2.11) 成立的前提。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主线取同质阶数，即对所有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有 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)|=η</w:t>
      </w:r>
      <w:r>
        <w:rPr>
          <w:rFonts w:ascii="Times New Roman" w:cs="Times New Roman" w:eastAsia="SimSun" w:hAnsi="Times New Roman"/>
        </w:rPr>
        <w:t xml:space="preserve">；异质阶数的推广见附录。</w:t>
      </w:r>
      <w:r>
        <w:rPr>
          <w:rFonts w:ascii="Cambria Math" w:eastAsia="SimSun" w:hAnsi="Cambria Math"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退化为普通有向图；取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为超边的支撑集则退化为无向超图。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节点的出度与入度分别计其作为尾成员与头成员的次数，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sz w:val="21"/>
          <w:szCs w:val="21"/>
        </w:rPr>
        <w:t xml:space="preserve">	(2.2)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二者的联合分布记为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。逐边计数给出两条握手关系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)=τ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)=η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sz w:val="21"/>
          <w:szCs w:val="21"/>
        </w:rPr>
        <w:t xml:space="preserve">	(2.3)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因此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：尾集与头集基数不等时，两个平均度必然不等。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本文所用的随机系综为有向超图位形模型：给定双度序列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v∈V</w:t>
      </w:r>
      <w:r>
        <w:rPr>
          <w:rFonts w:ascii="Times New Roman" w:cs="Times New Roman" w:eastAsia="SimSun" w:hAnsi="Times New Roman"/>
        </w:rPr>
        <w:t xml:space="preserve"> 与阶数 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，对全部尾槽与头槽做均匀随机配对，再修复违规超边；具体实现见第 5 节。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本文的第一个结构参数是入出度相关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⟩-⟨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(2.4)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即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在节点上的 Pearson 相关系数——刻画同一节点两个方向的度值关系，而非相连节点之间的度值相似性 [36]。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必须强调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是双度序列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的函数，与超边如何连接无关。因此它由系综的输入决定，一经给定即不再随超边的重排而改变：调节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只能在构造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的阶段进行，即在两条边际度序列固定的前提下重新配置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在节点上的配对。下一小节的重叠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恰好相反：它在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固定之后，才由超边的重排调节。两个结构参数因而作用在生成流程的不同环节，互不干扰——这一分离正是第 5 节两套工具的分工依据。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2.2. SIR 动力学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每个节点在任一时刻处于易感（S）、感染（I）、康复（R）三态之一。感染只沿尾→头方向传递：超边尾集中的感染成员驱动其头集中的易感节点，反向不发生传递。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记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)⊆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时刻的感染节点集，并令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</w:t>
      </w:r>
      <w:r>
        <w:rPr>
          <w:rFonts w:ascii="Cambria Math" w:eastAsia="SimSun" w:hAnsi="Cambria Math"/>
          <w:sz w:val="21"/>
          <w:szCs w:val="21"/>
        </w:rPr>
        <w:t xml:space="preserve">	(2.5)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尾集中已感染的成员数。超边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对其头集中每个尚处易感态的节点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施加的感染率取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(0)=0</w:t>
      </w:r>
      <w:r>
        <w:rPr>
          <w:rFonts w:ascii="Cambria Math" w:eastAsia="SimSun" w:hAnsi="Cambria Math"/>
          <w:sz w:val="21"/>
          <w:szCs w:val="21"/>
        </w:rPr>
        <w:t xml:space="preserve">	(2.6)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β&gt;0</w:t>
      </w:r>
      <w:r>
        <w:rPr>
          <w:rFonts w:ascii="Times New Roman" w:cs="Times New Roman" w:eastAsia="SimSun" w:hAnsi="Times New Roman"/>
        </w:rPr>
        <w:t xml:space="preserve"> 为传播强度，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为感染核。本文主线取群体阈值核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)=Θ(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-θ)=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≥θ; 0,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&lt;θ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(2.7)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尾集感染成员数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Times New Roman" w:cs="Times New Roman" w:eastAsia="SimSun" w:hAnsi="Times New Roman"/>
        </w:rPr>
        <w:t xml:space="preserve"> 时超边处于激活态，以恒定率向头集传递；成员康复使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Times New Roman" w:cs="Times New Roman" w:eastAsia="SimSun" w:hAnsi="Times New Roman"/>
        </w:rPr>
        <w:t xml:space="preserve"> 回落到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以下时超边失活。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对应简单传播，任一尾成员感染即足以激活超边；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则要求多个尾成员的联合状态，属于阈值型复杂传播 [9, 45]。两者的渗流对应物不同，将在第 4 节分别处理。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阈值放在尾侧、且逐超边判定，是本文主线的机制选择。取线性核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可回收"每个感染尾成员独立传递"的情形；把阈值改放头侧、令头节点在跨超边累积的剂量超过阈值时被感染，则得到另一类机制，由附录的剂量核统一处理。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易感节点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的总感染率是它所在全部头集的贡献之和，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e: u∈H(e)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(2.8)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感染节点以恒定率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独立康复，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→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，康复后不再参与传递。以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归一时间尺度后，过程只依赖比值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λ≡β/μ</w:t>
      </w:r>
      <w:r>
        <w:rPr>
          <w:rFonts w:ascii="Cambria Math" w:eastAsia="SimSun" w:hAnsi="Cambria Math"/>
          <w:sz w:val="21"/>
          <w:szCs w:val="21"/>
        </w:rPr>
        <w:t xml:space="preserve">	(2.9)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故给定感染核后，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是唯一的连续动力学控制参数，爆发阈值指其临界值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；后文所称"阈值随结构参数变化"即指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对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等量的依赖。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V</w:t>
      </w:r>
      <w:r>
        <w:rPr>
          <w:rFonts w:ascii="Times New Roman" w:cs="Times New Roman" w:eastAsia="SimSun" w:hAnsi="Times New Roman"/>
        </w:rPr>
        <w:t xml:space="preserve"> 上的演化因而是连续时间 Markov 过程，可用 Gillespie 算法精确抽样 [16]——这是第 3 节数值校验的基础。非指数康复期分布的推广见附录。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初始条件需随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而变。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时取单个均匀随机选取的种子节点感染即可。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时单个种子无法激活任何超边——任一超边的感染尾成员数至多为 </w:t>
      </w:r>
      <w:r>
        <w:rPr>
          <w:rFonts w:ascii="Cambria Math" w:eastAsia="SimSun" w:hAnsi="Cambria Math"/>
          <w:i w:val="false"/>
          <w:iCs w:val="false"/>
        </w:rPr>
        <w:t xml:space="preserve">1&lt;θ</w:t>
      </w:r>
      <w:r>
        <w:rPr>
          <w:rFonts w:ascii="Times New Roman" w:cs="Times New Roman" w:eastAsia="SimSun" w:hAnsi="Times New Roman"/>
        </w:rPr>
        <w:t xml:space="preserve">——过程只以种子自身康复告终，爆发规模恒为 </w:t>
      </w:r>
      <w:r>
        <w:rPr>
          <w:rFonts w:ascii="Cambria Math" w:eastAsia="SimSun" w:hAnsi="Cambria Math"/>
          <w:i w:val="false"/>
          <w:iCs w:val="false"/>
        </w:rPr>
        <w:t xml:space="preserve">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；因此必须取一个规模不小于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的种子集，我们取均匀随机的初始感染比例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。这与 bootstrap 渗流以初始激活比例为控制参数的做法一致 [5]，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因而是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分支的第二个控制参数。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有限系统几乎必然在有限时间内到达无感染者的吸收态。记该吸收态中康复节点的占比为爆发规模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，记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为给定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对动力学随机性与种子选取的条件期望。两种初始条件下种子分布都均匀，因而与超边方向无关，这一点 2.4 将用到。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式 (2.5)–(2.8) 中方向性的作用是不对称的：节点的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决定它能把感染推给多少个头集，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决定它暴露于多少个尾集。这一不对称正是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得以进入动力学的通道。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2.3. 有向超边重叠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第二个结构参数刻画超边之间如何共享节点。在无向超图中，两条超边的重叠只有"共享几个节点"一个自由度 [24, 30]；引入尾/头之分后，共享节点在两条超边中各自扮演的角色也成为信息。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对任意有序超边对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≠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，定义重叠列联矩阵的四个分量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(2.10)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同理。四个通道各有独立的动力学含义：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TT</w:t>
      </w:r>
      <w:r>
        <w:rPr>
          <w:rFonts w:ascii="Times New Roman" w:cs="Times New Roman" w:eastAsia="SimSun" w:hAnsi="Times New Roman"/>
        </w:rPr>
        <w:t xml:space="preserve"> 为共发，共享节点在两条超边中同为尾成员，同一感染源向两个不同头集扇出；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HH</w:t>
      </w:r>
      <w:r>
        <w:rPr>
          <w:rFonts w:ascii="Times New Roman" w:cs="Times New Roman" w:eastAsia="SimSun" w:hAnsi="Times New Roman"/>
        </w:rPr>
        <w:t xml:space="preserve"> 为共收，共享节点同为头成员，两条超边的感染率按 (2.8) 在该节点上叠加（附录的头侧剂量核下，跨超边剂量亦在此累积）；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为串联，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的头集落入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的尾集，构成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→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的传播链；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为反向串联。由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̄=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即得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̄|=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HH</w:t>
      </w:r>
      <w:r>
        <w:rPr>
          <w:rFonts w:ascii="Cambria Math" w:eastAsia="SimSun" w:hAnsi="Cambria Math"/>
          <w:sz w:val="21"/>
          <w:szCs w:val="21"/>
        </w:rPr>
        <w:t xml:space="preserve">	(2.11)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也就是说，对任意一对超边，四通道之和精确等于其无向重叠：本节的重叠量是现行定义的方向细化，因而后文结果可与无向文献直接对照。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归一化到 </w:t>
      </w:r>
      <w:r>
        <w:rPr>
          <w:rFonts w:ascii="Cambria Math" w:eastAsia="SimSun" w:hAnsi="Cambria Math"/>
          <w:i w:val="false"/>
          <w:iCs w:val="false"/>
        </w:rPr>
        <w:t xml:space="preserve">[0,1]</w:t>
      </w:r>
      <w:r>
        <w:rPr>
          <w:rFonts w:ascii="Times New Roman" w:cs="Times New Roman" w:eastAsia="SimSun" w:hAnsi="Times New Roman"/>
        </w:rPr>
        <w:t xml:space="preserve"> 取（同质阶数下分母逐通道为常数：</w:t>
      </w:r>
      <w:r>
        <w:rPr>
          <w:rFonts w:ascii="Cambria Math" w:eastAsia="SimSun" w:hAnsi="Cambria Math"/>
          <w:i/>
          <w:iCs/>
        </w:rPr>
        <w:t xml:space="preserve">TT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HH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、两个串联通道取 </w:t>
      </w:r>
      <w:r>
        <w:rPr>
          <w:rFonts w:ascii="Cambria Math" w:eastAsia="SimSun" w:hAnsi="Cambria Math"/>
          <w:i/>
          <w:iCs/>
        </w:rPr>
        <w:t xml:space="preserve">min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）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)|))</w:t>
      </w:r>
      <w:r>
        <w:rPr>
          <w:rFonts w:ascii="Cambria Math" w:eastAsia="SimSun" w:hAnsi="Cambria Math"/>
          <w:sz w:val="21"/>
          <w:szCs w:val="21"/>
        </w:rPr>
        <w:t xml:space="preserve">	(2.12)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聚合方式受一条硬约束限制。对固定的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逐节点计数可得四条求和规则，例如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)-1),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v∈H(e)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(2.13)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其余两式同理。右端只依赖度序列，因此在保度约束下四个通道的重叠总量是常数；同质阶数下 (2.12) 的分母逐通道为常数，故无条件平均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同样被度序列锁死，无法作为可调参数。可变的是重叠的堆积方式——是让少数超边对深度共享，还是让共享摊薄到大量超边对上。据此定义条件平均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σσ'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=⟨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)≥1,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)=σ'  ⟩</w:t>
      </w:r>
      <w:r>
        <w:rPr>
          <w:rFonts w:ascii="Cambria Math" w:eastAsia="SimSun" w:hAnsi="Cambria Math"/>
          <w:sz w:val="21"/>
          <w:szCs w:val="21"/>
        </w:rPr>
        <w:t xml:space="preserve">	(2.14)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即在确实发生重叠的超边对上取平均，其中 </w:t>
      </w:r>
      <w:r>
        <w:rPr>
          <w:rFonts w:ascii="Cambria Math" w:eastAsia="SimSun" w:hAnsi="Cambria Math"/>
          <w:i w:val="false"/>
          <w:iCs w:val="false"/>
        </w:rPr>
        <w:t xml:space="preserve">σ(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)=(|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)|,|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)|)</w:t>
      </w:r>
      <w:r>
        <w:rPr>
          <w:rFonts w:ascii="Times New Roman" w:cs="Times New Roman" w:eastAsia="SimSun" w:hAnsi="Times New Roman"/>
        </w:rPr>
        <w:t xml:space="preserve"> 为超边的阶；该通道无重叠时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不定义。记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为该通道中发生重叠的超边对数，则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，常数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仅由度序列决定。因此调节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等价于调节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，这决定了第 5 节重连算法的实现方式。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式 (2.14) 中阶指标取对角块（</w:t>
      </w:r>
      <w:r>
        <w:rPr>
          <w:rFonts w:ascii="Cambria Math" w:eastAsia="SimSun" w:hAnsi="Cambria Math"/>
          <w:i w:val="false"/>
          <w:iCs w:val="false"/>
        </w:rPr>
        <w:t xml:space="preserve">σ=σ'</w:t>
      </w:r>
      <w:r>
        <w:rPr>
          <w:rFonts w:ascii="Times New Roman" w:cs="Times New Roman" w:eastAsia="SimSun" w:hAnsi="Times New Roman"/>
        </w:rPr>
        <w:t xml:space="preserve">）即阶内重叠、取非对角块即阶间重叠，与无向情形下超边重叠矩阵的对角/非对角划分一致 [24]；本文只是在其每个矩阵元上再展开出四个方向通道。同质阶数下阶指标退化，以下略去并简记为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；第 7 节的真实数据阶数异质，届时阶指标重新生效。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互惠方向不由上述张量刻画。两条超边是否互相指回，取决于一组超边能否共同完成反向覆盖，这是超边级而非超边对级的判据。本文直接采用已有的强互惠定义 [28]：若存在一组超边，其尾集之并覆盖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且头集之并覆盖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，则称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被强互惠；取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⇄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被强互惠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(2.15)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采用这一定义是为了与已有测量口径一致，便于第 7 节与真实数据的报告值并列。需要注意它与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不同类：退化关系 (2.11) 对它不成立，它也不进入第 4 节转移算子的权重。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2.4. 方向翻转与宇称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定义全局方向翻转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为对所有超边交换尾集与头集，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⟼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sz w:val="21"/>
          <w:szCs w:val="21"/>
        </w:rPr>
        <w:t xml:space="preserve">	(2.16)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是有向超图空间上的对合（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id</w:t>
      </w:r>
      <w:r>
        <w:rPr>
          <w:rFonts w:ascii="Times New Roman" w:cs="Times New Roman" w:eastAsia="SimSun" w:hAnsi="Times New Roman"/>
        </w:rPr>
        <w:t xml:space="preserve">）。它把每个节点的入度与出度互换，把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 互换，并在四个重叠通道上作用为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TH</w:t>
      </w:r>
      <w:r>
        <w:rPr>
          <w:rFonts w:ascii="Cambria Math" w:eastAsia="SimSun" w:hAnsi="Cambria Math"/>
          <w:sz w:val="21"/>
          <w:szCs w:val="21"/>
        </w:rPr>
        <w:t xml:space="preserve">	(2.17)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两个串联通道并不独立。对有序超边对恒有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，故同质阶数下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逐实现相等（异质阶数下互为阶指标的转置），串联方向只携带一个分量，记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Cambria Math" w:eastAsia="SimSun" w:hAnsi="Cambria Math"/>
          <w:i w:val="false"/>
          <w:iCs w:val="false"/>
        </w:rPr>
        <w:t xml:space="preserve">=α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。四个通道在聚合层面因而只有三个独立分量。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按宇称重组：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与并联重叠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Cambria Math" w:eastAsia="SimSun" w:hAnsi="Cambria Math"/>
          <w:i w:val="false"/>
          <w:iCs w:val="false"/>
        </w:rPr>
        <w:t xml:space="preserve">=1/2(α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</w:rPr>
        <w:t xml:space="preserve">+α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下为偶，而极性失衡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Δα=1/2(α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(2.18)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为奇。跨结构比较（如阈值对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的依赖）必须固定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，否则三个分量的效应混在同一条扫描线上；但成对的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–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Times New Roman" w:cs="Times New Roman" w:eastAsia="SimSun" w:hAnsi="Times New Roman"/>
        </w:rPr>
        <w:t xml:space="preserve"> 比较不受此限，因为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为偶，翻转前后取值相同，无法伪造配对差异。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下为偶：翻转互换每个节点的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(2.4) 的 Pearson 相关系数对其两个变量对称，故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据此可把结构量按宇称分类。本文所用结构量中，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-奇的来源有两个且相互独立：双度序列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关于分量互换的不对称性，以及极性失衡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。尾头基数之差 </w:t>
      </w:r>
      <w:r>
        <w:rPr>
          <w:rFonts w:ascii="Cambria Math" w:eastAsia="SimSun" w:hAnsi="Cambria Math"/>
          <w:i w:val="false"/>
          <w:iCs w:val="false"/>
        </w:rPr>
        <w:t xml:space="preserve">τ-η</w:t>
      </w:r>
      <w:r>
        <w:rPr>
          <w:rFonts w:ascii="Times New Roman" w:cs="Times New Roman" w:eastAsia="SimSun" w:hAnsi="Times New Roman"/>
        </w:rPr>
        <w:t xml:space="preserve"> 不是第三个独立来源——由 (2.3)，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互换对称蕴含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τ≠η</w:t>
      </w:r>
      <w:r>
        <w:rPr>
          <w:rFonts w:ascii="Times New Roman" w:cs="Times New Roman" w:eastAsia="SimSun" w:hAnsi="Times New Roman"/>
        </w:rPr>
        <w:t xml:space="preserve"> 只是序列不对称的一个充分标志；反之序列不对称时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仍可成立。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这一分类对终态有直接约束。设结构系综 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生成随机有向超图，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 2.2 定义的条件期望爆发规模；由于种子均匀选取，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的定义本身不引入方向偏好。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2.1.</w:t>
      </w:r>
      <w:r>
        <w:rPr>
          <w:rFonts w:ascii="Times New Roman" w:cs="Times New Roman" w:eastAsia="SimSun" w:hAnsi="Times New Roman"/>
          <w:color w:val="3A4A5A"/>
        </w:rPr>
        <w:t xml:space="preserve"> 若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Times New Roman" w:cs="Times New Roman" w:eastAsia="SimSun" w:hAnsi="Times New Roman"/>
          <w:color w:val="3A4A5A"/>
        </w:rPr>
        <w:t xml:space="preserve"> 下不变，即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ℙ[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]=ℙ[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</w:t>
      </w:r>
      <w:r>
        <w:rPr>
          <w:rFonts w:ascii="Times New Roman" w:cs="Times New Roman" w:eastAsia="SimSun" w:hAnsi="Times New Roman"/>
          <w:color w:val="3A4A5A"/>
        </w:rPr>
        <w:t xml:space="preserve"> 对所有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 成立，则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⟨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=⟨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∘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证明.</w:t>
      </w:r>
      <w:r>
        <w:rPr>
          <w:rFonts w:ascii="Times New Roman" w:cs="Times New Roman" w:eastAsia="SimSun" w:hAnsi="Times New Roman"/>
        </w:rPr>
        <w:t xml:space="preserve"> 只需一次换元：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是结构空间上的可测对合，故 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。 </w:t>
      </w:r>
      <w:r>
        <w:rPr>
          <w:rFonts w:ascii="Cambria Math" w:eastAsia="SimSun" w:hAnsi="Cambria Math"/>
          <w:i w:val="false"/>
          <w:iCs w:val="false"/>
        </w:rPr>
        <w:t xml:space="preserve">□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命题 2.1 的逆否形式给出方向对称性破缺的必要条件：系综层面的破缺要求生成系综本身破坏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-不变性。在本文所用结构量中，能承载这一破坏的只有上述两个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但即便必要条件被满足，破缺也未必能在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上看到。存在一条更强的不变性，它与系综是否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-不变无关：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2.2.</w:t>
      </w:r>
      <w:r>
        <w:rPr>
          <w:rFonts w:ascii="Times New Roman" w:cs="Times New Roman" w:eastAsia="SimSun" w:hAnsi="Times New Roman"/>
          <w:color w:val="3A4A5A"/>
        </w:rPr>
        <w:t xml:space="preserve"> 设 (i) 终态可表示为某个随机结构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上的可达性，即从种子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出发的最终感染集为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Times New Roman" w:cs="Times New Roman" w:eastAsia="SimSun" w:hAnsi="Times New Roman"/>
          <w:color w:val="3A4A5A"/>
        </w:rPr>
        <w:t xml:space="preserve"> 中的出分支 </w:t>
      </w:r>
      <w:r>
        <w:rPr>
          <w:rFonts w:ascii="Cambria Math" w:eastAsia="SimSun" w:hAnsi="Cambria Math"/>
          <w:i/>
          <w:iCs/>
          <w:color w:val="3A4A5A"/>
        </w:rPr>
        <w:t xml:space="preserve">out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，如 [19] 的半有向流行渗流网络所给出；且 (ii)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与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的转置同分布。则对任意有向超图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，均匀单种子下的平均爆发规模在方向翻转下不变。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证明.</w:t>
      </w:r>
      <w:r>
        <w:rPr>
          <w:rFonts w:ascii="Times New Roman" w:cs="Times New Roman" w:eastAsia="SimSun" w:hAnsi="Times New Roman"/>
        </w:rPr>
        <w:t xml:space="preserve"> 只需一次计数：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)|=#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):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 自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可达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</w:rPr>
        <w:t xml:space="preserve">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</w:t>
      </w:r>
      <w:r>
        <w:rPr>
          <w:rFonts w:ascii="Times New Roman" w:cs="Times New Roman" w:eastAsia="SimSun" w:hAnsi="Times New Roman"/>
        </w:rPr>
        <w:t xml:space="preserve">。转置把每个可达有序对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换成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，可达对的总数因而逐实现不变；除以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Times New Roman" w:cs="Times New Roman" w:eastAsia="SimSun" w:hAnsi="Times New Roman"/>
        </w:rPr>
        <w:t xml:space="preserve"> 即得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不变。 </w:t>
      </w:r>
      <w:r>
        <w:rPr>
          <w:rFonts w:ascii="Cambria Math" w:eastAsia="SimSun" w:hAnsi="Cambria Math"/>
          <w:i w:val="false"/>
          <w:iCs w:val="false"/>
        </w:rPr>
        <w:t xml:space="preserve">□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假设 (ii) 需要分情形讨论。取线性核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时，传播事件对每个（尾成员，头成员）对独立发生，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可在不参照种子的情况下一次抽出，(ii) 严格成立，计数恒等式因而逐实现精确。但本文主线的超边级阈值核不满足 (ii)：超边的激活区间是其已感染尾成员感染期的并集，取决于哪些尾成员先被感染，因而依赖种子，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不是种子无关的。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这一违背是真实的，不能当作可忽略的小量。第 6 节在 </w:t>
      </w:r>
      <w:r>
        <w:rPr>
          <w:rFonts w:ascii="Cambria Math" w:eastAsia="SimSun" w:hAnsi="Cambria Math"/>
          <w:i w:val="false"/>
          <w:iCs w:val="false"/>
        </w:rPr>
        <w:t xml:space="preserve">τ=3,η=1</w:t>
      </w:r>
      <w:r>
        <w:rPr>
          <w:rFonts w:ascii="Times New Roman" w:cs="Times New Roman" w:eastAsia="SimSun" w:hAnsi="Times New Roman"/>
        </w:rPr>
        <w:t xml:space="preserve"> 的最不对称构型上测得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的翻转残余约为 </w:t>
      </w:r>
      <w:r>
        <w:rPr>
          <w:rFonts w:ascii="Cambria Math" w:eastAsia="SimSun" w:hAnsi="Cambria Math"/>
          <w:i w:val="false"/>
          <w:iCs w:val="false"/>
        </w:rPr>
        <w:t xml:space="preserve">-2%</w:t>
      </w:r>
      <w:r>
        <w:rPr>
          <w:rFonts w:ascii="Times New Roman" w:cs="Times New Roman" w:eastAsia="SimSun" w:hAnsi="Times New Roman"/>
        </w:rPr>
        <w:t xml:space="preserve">（阈值邻域，四个独立结构符号一致，合并 </w:t>
      </w:r>
      <w:r>
        <w:rPr>
          <w:rFonts w:ascii="Cambria Math" w:eastAsia="SimSun" w:hAnsi="Cambria Math"/>
          <w:i w:val="false"/>
          <w:iCs w:val="false"/>
        </w:rPr>
        <w:t xml:space="preserve">5σ</w:t>
      </w:r>
      <w:r>
        <w:rPr>
          <w:rFonts w:ascii="Times New Roman" w:cs="Times New Roman" w:eastAsia="SimSun" w:hAnsi="Times New Roman"/>
        </w:rPr>
        <w:t xml:space="preserve">）。它并非仿真器对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Times New Roman" w:cs="Times New Roman" w:eastAsia="SimSun" w:hAnsi="Times New Roman"/>
        </w:rPr>
        <w:t xml:space="preserve"> 处理不均所致。在互换对称的双度序列上，命题 2.1 直接禁止破缺，而同一协议只给出 </w:t>
      </w:r>
      <w:r>
        <w:rPr>
          <w:rFonts w:ascii="Cambria Math" w:eastAsia="SimSun" w:hAnsi="Cambria Math"/>
          <w:i w:val="false"/>
          <w:iCs w:val="false"/>
        </w:rPr>
        <w:t xml:space="preserve">-0.36%±0.28%</w:t>
      </w:r>
      <w:r>
        <w:rPr>
          <w:rFonts w:ascii="Times New Roman" w:cs="Times New Roman" w:eastAsia="SimSun" w:hAnsi="Times New Roman"/>
        </w:rPr>
        <w:t xml:space="preserve">，与零相容；即便保守地把这一数值当作仪器基线扣除，剩余部分仍有 </w:t>
      </w:r>
      <w:r>
        <w:rPr>
          <w:rFonts w:ascii="Cambria Math" w:eastAsia="SimSun" w:hAnsi="Cambria Math"/>
          <w:i w:val="false"/>
          <w:iCs w:val="false"/>
        </w:rPr>
        <w:t xml:space="preserve">-1.88%±0.52%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3.6σ</w:t>
      </w:r>
      <w:r>
        <w:rPr>
          <w:rFonts w:ascii="Times New Roman" w:cs="Times New Roman" w:eastAsia="SimSun" w:hAnsi="Times New Roman"/>
        </w:rPr>
        <w:t xml:space="preserve">）。该效应为超边级激活所特有，成对情形与线性核下均不出现。因此本文主线不满足命题 2.2 的假设 (ii)，命题的结论对它不适用：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并非严格不变量。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即便如此，命题 2.2 的结论在量级上仍然成立：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是一个极差的破缺序参量。同一批构型上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在翻转下由 </w:t>
      </w:r>
      <w:r>
        <w:rPr>
          <w:rFonts w:ascii="Cambria Math" w:eastAsia="SimSun" w:hAnsi="Cambria Math"/>
          <w:i w:val="false"/>
          <w:iCs w:val="false"/>
        </w:rPr>
        <w:t xml:space="preserve">0.67</w:t>
      </w:r>
      <w:r>
        <w:rPr>
          <w:rFonts w:ascii="Times New Roman" w:cs="Times New Roman" w:eastAsia="SimSun" w:hAnsi="Times New Roman"/>
        </w:rPr>
        <w:t xml:space="preserve"> 变为 </w:t>
      </w:r>
      <w:r>
        <w:rPr>
          <w:rFonts w:ascii="Cambria Math" w:eastAsia="SimSun" w:hAnsi="Cambria Math"/>
          <w:i w:val="false"/>
          <w:iCs w:val="false"/>
        </w:rPr>
        <w:t xml:space="preserve">0.39</w:t>
      </w:r>
      <w:r>
        <w:rPr>
          <w:rFonts w:ascii="Times New Roman" w:cs="Times New Roman" w:eastAsia="SimSun" w:hAnsi="Times New Roman"/>
        </w:rPr>
        <w:t xml:space="preserve">，相对其均值的差异约 </w:t>
      </w:r>
      <w:r>
        <w:rPr>
          <w:rFonts w:ascii="Cambria Math" w:eastAsia="SimSun" w:hAnsi="Cambria Math"/>
          <w:i w:val="false"/>
          <w:iCs w:val="false"/>
        </w:rPr>
        <w:t xml:space="preserve">53%</w:t>
      </w:r>
      <w:r>
        <w:rPr>
          <w:rFonts w:ascii="Times New Roman" w:cs="Times New Roman" w:eastAsia="SimSun" w:hAnsi="Times New Roman"/>
        </w:rPr>
        <w:t xml:space="preserve">，比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残余大二十余倍。破缺出现在可达对如何分布，而非其总数。按 [19]，大爆发的概率由巨入分支的相对规模决定，而爆发的终态规模由巨出分支决定；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恰好交换这两者。成对有向图上这一分离已有明确表述：爆发概率由沿出边的前向分支过程给出，爆发规模由沿入边的后向分支过程给出，后者等价于时间反演模型中的前向计算 [2]。本文的命题 2.2 正是该结构在有向超图上的推论。因此本文取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Π=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(2.19)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为破缺的序参量，其中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cut</w:t>
      </w:r>
      <w:r>
        <w:rPr>
          <w:rFonts w:ascii="Times New Roman" w:cs="Times New Roman" w:eastAsia="SimSun" w:hAnsi="Times New Roman"/>
        </w:rPr>
        <w:t xml:space="preserve"> 为区分自限爆发与大爆发的阈值。由全期望公式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⟩=Π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̄+(1-Π)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&lt;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&lt;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≤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(2.20)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而命题 2 把左端近似钉住，故右端各项的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-奇部分须相互抵消至上述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的残余以内。这是一条可证伪的预言，第 6 节将检验之——检验时须把残余本身作为已知的系统项扣除，而非视作零。注意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&lt;</w:t>
      </w:r>
      <w:r>
        <w:rPr>
          <w:rFonts w:ascii="Times New Roman" w:cs="Times New Roman" w:eastAsia="SimSun" w:hAnsi="Times New Roman"/>
        </w:rPr>
        <w:t xml:space="preserve"> 在阈值邻域并不可忽略：那里绝大多数实现是自限的（</w:t>
      </w:r>
      <w:r>
        <w:rPr>
          <w:rFonts w:ascii="Cambria Math" w:eastAsia="SimSun" w:hAnsi="Cambria Math"/>
          <w:i w:val="false"/>
          <w:iCs w:val="false"/>
        </w:rPr>
        <w:t xml:space="preserve">1-Π</w:t>
      </w:r>
      <w:r>
        <w:rPr>
          <w:rFonts w:ascii="Times New Roman" w:cs="Times New Roman" w:eastAsia="SimSun" w:hAnsi="Times New Roman"/>
        </w:rPr>
        <w:t xml:space="preserve"> 接近 1），预跑测得自限项 </w:t>
      </w:r>
      <w:r>
        <w:rPr>
          <w:rFonts w:ascii="Cambria Math" w:eastAsia="SimSun" w:hAnsi="Cambria Math"/>
          <w:i w:val="false"/>
          <w:iCs w:val="false"/>
        </w:rPr>
        <w:t xml:space="preserve">(1-Π)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&lt;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处占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47%</w:t>
      </w:r>
      <w:r>
        <w:rPr>
          <w:rFonts w:ascii="Times New Roman" w:cs="Times New Roman" w:eastAsia="SimSun" w:hAnsi="Times New Roman"/>
        </w:rPr>
        <w:t xml:space="preserve">。因此补偿关系须按上式逐项核算，不能简化为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⟩≈Π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的角色由此成为一个可直接检验的推论：它不能单独产生破缺。设双度序列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关于分量互换对称，即 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至多相差一个节点重标号。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把位形模型系综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映为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，后者是前者在该重标号下的像；而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与节点标号无关，故命题 1 的结论成立。关键在于这类对称序列可以取遍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∈[-1,1]</w:t>
      </w:r>
      <w:r>
        <w:rPr>
          <w:rFonts w:ascii="Times New Roman" w:cs="Times New Roman" w:eastAsia="SimSun" w:hAnsi="Times New Roman"/>
        </w:rPr>
        <w:t xml:space="preserve"> 的整个范围（例如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由若干对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组成时序列对称而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可为任意值），因此沿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扫描的整条线上都不应出现破缺，尽管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确实移动阈值。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最后需要强调，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-奇是必要条件，却远非充分条件。宇称分类指出哪些量可能驱动破缺，不指出哪一个实际驱动——后者是动力学问题，分类本身无从回答。第 6 节的结论是两个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-奇来源分野明显：分支结构的不对称（阶数与双度序列）驱动的破缺在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上是显著效应，而重叠极性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尽管同为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-奇，其效应随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增大始终不可分辨，只能给出上界。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据此，第 6 节破缺实验的设计为：全部测量以 </w:t>
      </w:r>
      <w:r>
        <w:rPr>
          <w:rFonts w:ascii="Cambria Math" w:eastAsia="SimSun" w:hAnsi="Cambria Math"/>
          <w:i w:val="false"/>
          <w:iCs w:val="false"/>
        </w:rPr>
        <w:t xml:space="preserve">(Π,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̄)</w:t>
      </w:r>
      <w:r>
        <w:rPr>
          <w:rFonts w:ascii="Times New Roman" w:cs="Times New Roman" w:eastAsia="SimSun" w:hAnsi="Times New Roman"/>
        </w:rPr>
        <w:t xml:space="preserve"> 为序参量而非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；主实验驱动分支结构的不对称，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的效应作为独立扫描给出上界；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扫描作为阴性对照；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的近似不变性作为内部一致性检查，其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残余须与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的破缺幅度并列报告，以显示二者相差一个多数量级。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两条命题的适用层级不同：命题 1 是关于结构系综的陈述，命题 2 则对每个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单独成立——这正是它可以在单个不对称结构上被检验的原因。但两者针对的都是已对动力学随机性与种子取过平均的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；单次仿真的爆发规模在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Times New Roman" w:cs="Times New Roman" w:eastAsia="SimSun" w:hAnsi="Times New Roman"/>
        </w:rPr>
        <w:t xml:space="preserve"> 之间自然不等，其差是有限次抽样的涨落，随实现数增大而趋零。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3. 并发型边基房室方程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3.1. 空腔构造与闭合假设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成对网络上的边基房室模型（EBCM）以"沿一条边尚未传来感染"的概率为核心变量，把 SIR 的含时演化压缩到少数常微分方程 [33, 44]。移到有向超图上有两重并发需要处理：一个头节点同时暴露于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条超边，而每条超边内又有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个尾成员同时向它施压。前一重可以因子化，后一重不能——本小节说明界线在哪里。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固定一个检验节点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，人为令其永久保持易感（空腔节点），并取一条以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为头成员的超边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，即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。定义边基变量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到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时刻尚未向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传递感染]</w:t>
      </w:r>
      <w:r>
        <w:rPr>
          <w:rFonts w:ascii="Cambria Math" w:eastAsia="SimSun" w:hAnsi="Cambria Math"/>
          <w:sz w:val="21"/>
          <w:szCs w:val="21"/>
        </w:rPr>
        <w:t xml:space="preserve">	(3.1)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2.2 的速率规则，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在时刻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 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施压，故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exp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[-β∫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]⟩</w:t>
      </w:r>
      <w:r>
        <w:rPr>
          <w:rFonts w:ascii="Cambria Math" w:eastAsia="SimSun" w:hAnsi="Cambria Math"/>
          <w:sz w:val="21"/>
          <w:szCs w:val="21"/>
        </w:rPr>
        <w:t xml:space="preserve">	(3.2)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主线取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，此时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)=1[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≥1]</w:t>
      </w:r>
      <w:r>
        <w:rPr>
          <w:rFonts w:ascii="Times New Roman" w:cs="Times New Roman" w:eastAsia="SimSun" w:hAnsi="Times New Roman"/>
        </w:rPr>
        <w:t xml:space="preserve">，指数上的积分即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的激活时长，也就是其各尾成员感染期之并的测度。并的测度不等于各成员贡献之和，因而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)≠∏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(3.3)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朴素的逐成员乘积闭合在此失效。这与 2.4 中破坏命题 2.2 假设 (ii) 的是同一件事——超边级激活：一条超边只有一个激活时钟，它由全体尾成员共同驱动，又被全体头成员共享。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闭合建立在两条假设上。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(H1) 局域树状。</w:t>
      </w:r>
      <w:r>
        <w:rPr>
          <w:rFonts w:ascii="Times New Roman" w:cs="Times New Roman" w:eastAsia="SimSun" w:hAnsi="Times New Roman"/>
        </w:rPr>
        <w:t xml:space="preserve"> 位形模型系综在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时局域收敛于树，任一有限邻域内出现回路的概率为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。据此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条入超边的上游分支互不相交，第一重并发因子化：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</w:t>
      </w:r>
      <w:r>
        <w:rPr>
          <w:rFonts w:ascii="Cambria Math" w:eastAsia="SimSun" w:hAnsi="Cambria Math"/>
          <w:sz w:val="21"/>
          <w:szCs w:val="21"/>
        </w:rPr>
        <w:t xml:space="preserve">	(3.4)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 为初始均匀感染比例。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(H2) 尾内无相互作用。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不在其尾成员之间传递感染；结合 (H1)，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个成员处在互不相交的上游分支，其感染时刻因而相互独立。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(H2) 是有向结构特有的。无向超图中同一条超边内的节点相互施加影响，"尾成员相互独立"根本无从谈起；正是尾与头的分离，使第二重并发退化为"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个独立个体驱动同一个共享时钟"，从而可由一个低维状态刻画。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还需注意一处度偏置。沿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的一个尾槽到达的节点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是按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加权抽取的，而决定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何时被感染的是它的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=∅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本身不属于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的入超边，因而不出现无向 EBCM 中的余度相减——偏置变量与计数变量是两个不同的量。据此定义尾侧生成函数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k_in,k_out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k_in</w:t>
      </w:r>
      <w:r>
        <w:rPr>
          <w:rFonts w:ascii="Cambria Math" w:eastAsia="SimSun" w:hAnsi="Cambria Math"/>
          <w:sz w:val="21"/>
          <w:szCs w:val="21"/>
        </w:rPr>
        <w:t xml:space="preserve">	(3.5)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 显式依赖于联合分布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(3.4)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只依赖于其边际。这是 2.1 的入出度相关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进入动力学的解析通道，也是下文阈值公式中唯一承载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的位置。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3.2. 方程组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(H2)，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个尾成员相互独立，其联合状态可由计数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概括：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个易感、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个感染、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 个康复，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=τ</w:t>
      </w:r>
      <w:r>
        <w:rPr>
          <w:rFonts w:ascii="Times New Roman" w:cs="Times New Roman" w:eastAsia="SimSun" w:hAnsi="Times New Roman"/>
        </w:rPr>
        <w:t xml:space="preserve">。定义未传递子概率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∧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处于状态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)]</w:t>
      </w:r>
      <w:r>
        <w:rPr>
          <w:rFonts w:ascii="Cambria Math" w:eastAsia="SimSun" w:hAnsi="Cambria Math"/>
          <w:sz w:val="21"/>
          <w:szCs w:val="21"/>
        </w:rPr>
        <w:t xml:space="preserve">	(3.6)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a+b+c=τ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，而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b≥θ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(3.7)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为"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处于激活态且尚未传递"的概率。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尾成员的感染是一个时间非齐次的 Markov 过程。由 (3.4) 与 (3.5)，一个尾成员到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时刻仍易感的概率为 </w:t>
      </w:r>
      <w:r>
        <w:rPr>
          <w:rFonts w:ascii="Cambria Math" w:eastAsia="SimSun" w:hAnsi="Cambria Math"/>
          <w:i w:val="false"/>
          <w:iCs w:val="false"/>
        </w:rPr>
        <w:t xml:space="preserve">(1-ε)ψ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</w:rPr>
        <w:t xml:space="preserve">(Φ(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，其瞬时风险率因而是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ln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[(1-ε)ψ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(Φ)] =β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(Φ))/(ψ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</w:t>
      </w:r>
      <w:r>
        <w:rPr>
          <w:rFonts w:ascii="Cambria Math" w:eastAsia="SimSun" w:hAnsi="Cambria Math"/>
          <w:sz w:val="21"/>
          <w:szCs w:val="21"/>
        </w:rPr>
        <w:t xml:space="preserve">	(3.8)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末一步用了下面的 (3.10)。向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的传递以速率 </w:t>
      </w:r>
      <w:r>
        <w:rPr>
          <w:rFonts w:ascii="Cambria Math" w:eastAsia="SimSun" w:hAnsi="Cambria Math"/>
          <w:i w:val="false"/>
          <w:iCs w:val="false"/>
        </w:rPr>
        <w:t xml:space="preserve">β 1[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≥θ]</w:t>
      </w:r>
      <w:r>
        <w:rPr>
          <w:rFonts w:ascii="Times New Roman" w:cs="Times New Roman" w:eastAsia="SimSun" w:hAnsi="Times New Roman"/>
        </w:rPr>
        <w:t xml:space="preserve"> 把概率移出"未传递"类。等价地，在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之外添一个"已传递"的吸收态，则整体是一条标准的连续时间 Markov 链，而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 是其未被吸收部分的子概率，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</w:rPr>
        <w:t xml:space="preserve">=Φ≤1</w:t>
      </w:r>
      <w:r>
        <w:rPr>
          <w:rFonts w:ascii="Times New Roman" w:cs="Times New Roman" w:eastAsia="SimSun" w:hAnsi="Times New Roman"/>
        </w:rPr>
        <w:t xml:space="preserve">；概率论中这称为以速率 </w:t>
      </w:r>
      <w:r>
        <w:rPr>
          <w:rFonts w:ascii="Cambria Math" w:eastAsia="SimSun" w:hAnsi="Cambria Math"/>
          <w:i w:val="false"/>
          <w:iCs w:val="false"/>
        </w:rPr>
        <w:t xml:space="preserve">β 1[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≥θ]</w:t>
      </w:r>
      <w:r>
        <w:rPr>
          <w:rFonts w:ascii="Times New Roman" w:cs="Times New Roman" w:eastAsia="SimSun" w:hAnsi="Times New Roman"/>
        </w:rPr>
        <w:t xml:space="preserve"> 消灭（killing）的 Markov 链，其半群为次随机的，而 (3.2) 正是它的 Feynman–Kac 表示。据此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a+1,b-1,c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+μ[(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a,b+1,c-1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-β 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sz w:val="21"/>
          <w:szCs w:val="21"/>
        </w:rPr>
        <w:t xml:space="preserve">	(3.9)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（越界下标记为零）。对 (3.9) 求和，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项各自守恒而相消，只余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Φ̇=-β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sz w:val="21"/>
          <w:szCs w:val="21"/>
        </w:rPr>
        <w:t xml:space="preserve">	(3.10)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(3.8) 自洽。终态由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̇=μ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=1-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与 (3.4) 闭合。初始条件为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a,τ-a,0</w:t>
      </w:r>
      <w:r>
        <w:rPr>
          <w:rFonts w:ascii="Cambria Math" w:eastAsia="SimSun" w:hAnsi="Cambria Math"/>
          <w:i w:val="false"/>
          <w:iCs w:val="false"/>
        </w:rPr>
        <w:t xml:space="preserve">(0)=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(τ,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)(1-ε)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τ-a</w:t>
      </w:r>
      <w:r>
        <w:rPr>
          <w:rFonts w:ascii="Times New Roman" w:cs="Times New Roman" w:eastAsia="SimSun" w:hAnsi="Times New Roman"/>
        </w:rPr>
        <w:t xml:space="preserve">，其余为零。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方程 (3.4) 与 (3.9)–(3.10) 构成一个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(τ+2, 2)+1</w:t>
      </w:r>
      <w:r>
        <w:rPr>
          <w:rFonts w:ascii="Times New Roman" w:cs="Times New Roman" w:eastAsia="SimSun" w:hAnsi="Times New Roman"/>
        </w:rPr>
        <w:t xml:space="preserve"> 维闭系统：</w:t>
      </w:r>
      <w:r>
        <w:rPr>
          <w:rFonts w:ascii="Cambria Math" w:eastAsia="SimSun" w:hAnsi="Cambria Math"/>
          <w:i w:val="false"/>
          <w:iCs w:val="false"/>
        </w:rPr>
        <w:t xml:space="preserve">τ=2</w:t>
      </w:r>
      <w:r>
        <w:rPr>
          <w:rFonts w:ascii="Times New Roman" w:cs="Times New Roman" w:eastAsia="SimSun" w:hAnsi="Times New Roman"/>
        </w:rPr>
        <w:t xml:space="preserve"> 时 7 个方程，</w:t>
      </w:r>
      <w:r>
        <w:rPr>
          <w:rFonts w:ascii="Cambria Math" w:eastAsia="SimSun" w:hAnsi="Cambria Math"/>
          <w:i w:val="false"/>
          <w:iCs w:val="false"/>
        </w:rPr>
        <w:t xml:space="preserve">τ=3</w:t>
      </w:r>
      <w:r>
        <w:rPr>
          <w:rFonts w:ascii="Times New Roman" w:cs="Times New Roman" w:eastAsia="SimSun" w:hAnsi="Times New Roman"/>
        </w:rPr>
        <w:t xml:space="preserve"> 时 11 个，维数与系统规模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无关。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此时只有三个变量，(3.9) 化为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sz w:val="21"/>
          <w:szCs w:val="21"/>
        </w:rPr>
        <w:t xml:space="preserve">	(3.11)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这正是成对 EBCM 的三元组 </w:t>
      </w:r>
      <w:r>
        <w:rPr>
          <w:rFonts w:ascii="Cambria Math" w:eastAsia="SimSun" w:hAnsi="Cambria Math"/>
          <w:i w:val="false"/>
          <w:iCs w:val="false"/>
        </w:rPr>
        <w:t xml:space="preserve">(Φ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[33]——依次为伙伴处于易感、已感染但尚未传递、已康复且未曾传递的概率——唯一的实质替换是把余度生成函数换成 (3.5)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。需注意记号差异：本文的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对应该文中三者之和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，而本文的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 对应其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分量。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τ=2</w:t>
      </w:r>
      <w:r>
        <w:rPr>
          <w:rFonts w:ascii="Times New Roman" w:cs="Times New Roman" w:eastAsia="SimSun" w:hAnsi="Times New Roman"/>
          <w:b/>
          <w:bCs/>
        </w:rPr>
        <w:t xml:space="preserve"> 的显式形式。</w:t>
      </w:r>
      <w:r>
        <w:rPr>
          <w:rFonts w:ascii="Times New Roman" w:cs="Times New Roman" w:eastAsia="SimSun" w:hAnsi="Times New Roman"/>
        </w:rPr>
        <w:t xml:space="preserve"> 六个状态按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记为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002</w:t>
      </w:r>
      <w:r>
        <w:rPr>
          <w:rFonts w:ascii="Times New Roman" w:cs="Times New Roman" w:eastAsia="SimSun" w:hAnsi="Times New Roman"/>
        </w:rPr>
        <w:t xml:space="preserve">，(3.9) 展开为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=-2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=2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sz w:val="21"/>
          <w:szCs w:val="21"/>
        </w:rPr>
        <w:t xml:space="preserve">	(3.12)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-(2μ+β)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+2μ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002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sz w:val="21"/>
          <w:szCs w:val="21"/>
        </w:rPr>
        <w:t xml:space="preserve">	(3.13)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前三式对应尾集中至多一个成员曾被感染的情形，后三式对应两个成员；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011</w:t>
      </w:r>
      <w:r>
        <w:rPr>
          <w:rFonts w:ascii="Times New Roman" w:cs="Times New Roman" w:eastAsia="SimSun" w:hAnsi="Times New Roman"/>
        </w:rPr>
        <w:t xml:space="preserve">。逐式相加，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项成对相消，只余 </w:t>
      </w:r>
      <w:r>
        <w:rPr>
          <w:rFonts w:ascii="Cambria Math" w:eastAsia="SimSun" w:hAnsi="Cambria Math"/>
          <w:i w:val="false"/>
          <w:iCs w:val="false"/>
        </w:rPr>
        <w:t xml:space="preserve">-βΦ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，即 (3.10)。手写的这六个方程与按 (3.9) 自动生成的方程组，其积分在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=14</w:t>
      </w:r>
      <w:r>
        <w:rPr>
          <w:rFonts w:ascii="Times New Roman" w:cs="Times New Roman" w:eastAsia="SimSun" w:hAnsi="Times New Roman"/>
        </w:rPr>
        <w:t xml:space="preserve"> 处相差 </w:t>
      </w:r>
      <w:r>
        <w:rPr>
          <w:rFonts w:ascii="Cambria Math" w:eastAsia="SimSun" w:hAnsi="Cambria Math"/>
          <w:i w:val="false"/>
          <w:iCs w:val="false"/>
        </w:rPr>
        <w:t xml:space="preserve">6×10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-17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一条精确恒等式。</w:t>
      </w:r>
      <w:r>
        <w:rPr>
          <w:rFonts w:ascii="Times New Roman" w:cs="Times New Roman" w:eastAsia="SimSun" w:hAnsi="Times New Roman"/>
        </w:rPr>
        <w:t xml:space="preserve"> 全部尾成员易感蕴含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从未激活，因而必未传递，故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)=[(1-ε)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τ</w:t>
      </w:r>
      <w:r>
        <w:rPr>
          <w:rFonts w:ascii="Cambria Math" w:eastAsia="SimSun" w:hAnsi="Cambria Math"/>
          <w:sz w:val="21"/>
          <w:szCs w:val="21"/>
        </w:rPr>
        <w:t xml:space="preserve">	(3.14)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对一切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成立。(3.14) 不是额外假设，而是 (3.9) 的推论：对右端求导得 </w:t>
      </w:r>
      <w:r>
        <w:rPr>
          <w:rFonts w:ascii="Cambria Math" w:eastAsia="SimSun" w:hAnsi="Cambria Math"/>
          <w:i w:val="false"/>
          <w:iCs w:val="false"/>
        </w:rPr>
        <w:t xml:space="preserve">-τ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Times New Roman" w:cs="Times New Roman" w:eastAsia="SimSun" w:hAnsi="Times New Roman"/>
        </w:rPr>
        <w:t xml:space="preserve">，与 (3.9) 在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)=(τ,0,0)</w:t>
      </w:r>
      <w:r>
        <w:rPr>
          <w:rFonts w:ascii="Times New Roman" w:cs="Times New Roman" w:eastAsia="SimSun" w:hAnsi="Times New Roman"/>
        </w:rPr>
        <w:t xml:space="preserve"> 处逐项相同。它为数值积分提供了一条无需仿真的自检。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求解到什么程度。</w:t>
      </w:r>
      <w:r>
        <w:rPr>
          <w:rFonts w:ascii="Times New Roman" w:cs="Times New Roman" w:eastAsia="SimSun" w:hAnsi="Times New Roman"/>
        </w:rPr>
        <w:t xml:space="preserve"> 有必要把"求解"的含义说清楚。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时，(3.4) 与 (3.9)–(3.10) 构成一个封闭的低维系统，其积分给出完整的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与终态规模，精度由 3.5 逐项校验；爆发阈值 (3.17) 是闭式，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时终态亦有闭式 (3.24)。但 </w:t>
      </w:r>
      <w:r>
        <w:rPr>
          <w:rFonts w:ascii="Cambria Math" w:eastAsia="SimSun" w:hAnsi="Cambria Math"/>
          <w:i w:val="false"/>
          <w:iCs w:val="false"/>
        </w:rPr>
        <w:t xml:space="preserve">τ≥2</w:t>
      </w:r>
      <w:r>
        <w:rPr>
          <w:rFonts w:ascii="Times New Roman" w:cs="Times New Roman" w:eastAsia="SimSun" w:hAnsi="Times New Roman"/>
        </w:rPr>
        <w:t xml:space="preserve"> 时终态没有闭式，原因是结构性的而非技术性的：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∞</w:t>
      </w:r>
      <w:r>
        <w:rPr>
          <w:rFonts w:ascii="Times New Roman" w:cs="Times New Roman" w:eastAsia="SimSun" w:hAnsi="Times New Roman"/>
        </w:rPr>
        <w:t xml:space="preserve"> 取决于各尾成员感染期之并的长度；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时这个并只有一段，其长度服从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(μ)</w:t>
      </w:r>
      <w:r>
        <w:rPr>
          <w:rFonts w:ascii="Times New Roman" w:cs="Times New Roman" w:eastAsia="SimSun" w:hAnsi="Times New Roman"/>
        </w:rPr>
        <w:t xml:space="preserve"> 且与起始时刻无关，故可只用终态量闭合，而 </w:t>
      </w:r>
      <w:r>
        <w:rPr>
          <w:rFonts w:ascii="Cambria Math" w:eastAsia="SimSun" w:hAnsi="Cambria Math"/>
          <w:i w:val="false"/>
          <w:iCs w:val="false"/>
        </w:rPr>
        <w:t xml:space="preserve">τ≥2</w:t>
      </w:r>
      <w:r>
        <w:rPr>
          <w:rFonts w:ascii="Times New Roman" w:cs="Times New Roman" w:eastAsia="SimSun" w:hAnsi="Times New Roman"/>
        </w:rPr>
        <w:t xml:space="preserve"> 时并的长度依赖于各感染时刻的相对先后，终态量不足以确定它。这与 (3.3) 是同一个障碍。取线性核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时传播事件逐（尾成员，头成员）对独立，闭式重新出现。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的爆发条件不属本节范围。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  <w:b/>
          <w:bCs/>
        </w:rPr>
        <w:t xml:space="preserve">。</w:t>
      </w:r>
      <w:r>
        <w:rPr>
          <w:rFonts w:ascii="Times New Roman" w:cs="Times New Roman" w:eastAsia="SimSun" w:hAnsi="Times New Roman"/>
        </w:rPr>
        <w:t xml:space="preserve"> (3.9) 中只有消灭项的指示函数依赖于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，故方程组对任意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形式不变。但下一小节的阈值分析不再适用：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时单个感染尾成员不足以激活超边，(3.9) 在无病定态附近的线性化没有增长模式，这与 2.2 所述 bootstrap 图像一致，须按第 4 节的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途径处理。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3.3. 爆发阈值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κ≡ψ'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(1)=(⟨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(3.15)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ε→0</w:t>
      </w:r>
      <w:r>
        <w:rPr>
          <w:rFonts w:ascii="Times New Roman" w:cs="Times New Roman" w:eastAsia="SimSun" w:hAnsi="Times New Roman"/>
        </w:rPr>
        <w:t xml:space="preserve"> 时无病定态为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、其余为零、</w:t>
      </w:r>
      <w:r>
        <w:rPr>
          <w:rFonts w:ascii="Cambria Math" w:eastAsia="SimSun" w:hAnsi="Cambria Math"/>
          <w:i w:val="false"/>
          <w:iCs w:val="false"/>
        </w:rPr>
        <w:t xml:space="preserve">Φ=1</w:t>
      </w:r>
      <w:r>
        <w:rPr>
          <w:rFonts w:ascii="Times New Roman" w:cs="Times New Roman" w:eastAsia="SimSun" w:hAnsi="Times New Roman"/>
        </w:rPr>
        <w:t xml:space="preserve">。一阶量是恰有一个尾成员曾被感染的两个态，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τ-1,1,0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τ-1,0,1</w:t>
      </w:r>
      <w:r>
        <w:rPr>
          <w:rFonts w:ascii="Times New Roman" w:cs="Times New Roman" w:eastAsia="SimSun" w:hAnsi="Times New Roman"/>
        </w:rPr>
        <w:t xml:space="preserve">；判据是曾被感染的成员数 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≥2</w:t>
      </w:r>
      <w:r>
        <w:rPr>
          <w:rFonts w:ascii="Times New Roman" w:cs="Times New Roman" w:eastAsia="SimSun" w:hAnsi="Times New Roman"/>
        </w:rPr>
        <w:t xml:space="preserve"> 的态为二阶——注意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τ-2,1,1</w:t>
      </w:r>
      <w:r>
        <w:rPr>
          <w:rFonts w:ascii="Times New Roman" w:cs="Times New Roman" w:eastAsia="SimSun" w:hAnsi="Times New Roman"/>
        </w:rPr>
        <w:t xml:space="preserve"> 虽然 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 也在其中。由两个种子规模积分读出各态随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 的幂次，测得阶数逐态等于 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τ=3</w:t>
      </w:r>
      <w:r>
        <w:rPr>
          <w:rFonts w:ascii="Times New Roman" w:cs="Times New Roman" w:eastAsia="SimSun" w:hAnsi="Times New Roman"/>
        </w:rPr>
        <w:t xml:space="preserve">，见 </w:t>
      </w:r>
      <w:r>
        <w:rPr>
          <w:rFonts w:ascii="Consolas" w:eastAsia="SimSun" w:hAnsi="Consolas"/>
        </w:rPr>
        <w:t xml:space="preserve">tools/check_order_counting.py</w:t>
      </w:r>
      <w:r>
        <w:rPr>
          <w:rFonts w:ascii="Times New Roman" w:cs="Times New Roman" w:eastAsia="SimSun" w:hAnsi="Times New Roman"/>
        </w:rPr>
        <w:t xml:space="preserve">）。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的一阶部分因而只有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。由 (3.8) 有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≃βκ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，代入 (3.9) 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̇=[τβκ-(μ+β)]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sz w:val="21"/>
          <w:szCs w:val="21"/>
        </w:rPr>
        <w:t xml:space="preserve">	(3.16)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Times New Roman" w:cs="Times New Roman" w:eastAsia="SimSun" w:hAnsi="Times New Roman"/>
        </w:rPr>
        <w:t xml:space="preserve"> 不反馈到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，故阈值由 </w:t>
      </w:r>
      <w:r>
        <w:rPr>
          <w:rFonts w:ascii="Cambria Math" w:eastAsia="SimSun" w:hAnsi="Cambria Math"/>
          <w:i w:val="false"/>
          <w:iCs w:val="false"/>
        </w:rPr>
        <w:t xml:space="preserve">τβκ=μ+β</w:t>
      </w:r>
      <w:r>
        <w:rPr>
          <w:rFonts w:ascii="Times New Roman" w:cs="Times New Roman" w:eastAsia="SimSun" w:hAnsi="Times New Roman"/>
        </w:rPr>
        <w:t xml:space="preserve"> 单独给出。以 </w:t>
      </w:r>
      <w:r>
        <w:rPr>
          <w:rFonts w:ascii="Cambria Math" w:eastAsia="SimSun" w:hAnsi="Cambria Math"/>
          <w:i w:val="false"/>
          <w:iCs w:val="false"/>
        </w:rPr>
        <w:t xml:space="preserve">λ=β/μ</w:t>
      </w:r>
      <w:r>
        <w:rPr>
          <w:rFonts w:ascii="Times New Roman" w:cs="Times New Roman" w:eastAsia="SimSun" w:hAnsi="Times New Roman"/>
        </w:rPr>
        <w:t xml:space="preserve"> 表示，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=(1)/(τκ-1),  τκ&gt;1</w:t>
      </w:r>
      <w:r>
        <w:rPr>
          <w:rFonts w:ascii="Cambria Math" w:eastAsia="SimSun" w:hAnsi="Cambria Math"/>
          <w:sz w:val="21"/>
          <w:szCs w:val="21"/>
        </w:rPr>
        <w:t xml:space="preserve">	(3.17)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τκ≤1</w:t>
      </w:r>
      <w:r>
        <w:rPr>
          <w:rFonts w:ascii="Times New Roman" w:cs="Times New Roman" w:eastAsia="SimSun" w:hAnsi="Times New Roman"/>
        </w:rPr>
        <w:t xml:space="preserve"> 时不存在有限阈值。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分支解释自洽。</w:t>
      </w:r>
      <w:r>
        <w:rPr>
          <w:rFonts w:ascii="Times New Roman" w:cs="Times New Roman" w:eastAsia="SimSun" w:hAnsi="Times New Roman"/>
        </w:rPr>
        <w:t xml:space="preserve"> 一个感染的尾成员使其超边激活，超边在该成员的感染期内以速率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 向每个头成员施压，故对给定头成员的传递概率为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。从尾侧计数得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；从头侧计数，新感染节点沿入边到达、其出度因而按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偏置，得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=η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——成对情形下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正是有向图中"后继节点的平均出度"，亦即其再生数 [2]。由握手关系 (2.3) 有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，两式因而恒等：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 =η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(3.18)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两种数法给出同一个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，且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 与 (3.17) 等价。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(3.17) 化为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=[⟨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⟩-1]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Times New Roman" w:cs="Times New Roman" w:eastAsia="SimSun" w:hAnsi="Times New Roman"/>
        </w:rPr>
        <w:t xml:space="preserve">，即有向随机图上 SIR 的已知阈值 [2, 8, 32]。[32] 的半有向阈值条件在纯有向极限下化为临界传播率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，[2] 亦以再生数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给出同一结果；由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=λ/(1+λ)</w:t>
      </w:r>
      <w:r>
        <w:rPr>
          <w:rFonts w:ascii="Times New Roman" w:cs="Times New Roman" w:eastAsia="SimSun" w:hAnsi="Times New Roman"/>
        </w:rPr>
        <w:t xml:space="preserve"> 代入 (3.17) 得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=1/κ=⟨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，而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时握手关系 (2.3) 给出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，两式因而恒等。需要强调，令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并不回到无向网络的结果：无向情形的余度相减源于"来路那条边不可再用"，而有向情形下来路超边根本不在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的入超边之列。(3.17) 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来自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 里的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，与余度无关。两者是不同的结构，不应混为一谈。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阈值对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的依赖。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⟩+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k_out</w:t>
      </w:r>
      <w:r>
        <w:rPr>
          <w:rFonts w:ascii="Times New Roman" w:cs="Times New Roman" w:eastAsia="SimSun" w:hAnsi="Times New Roman"/>
        </w:rPr>
        <w:t xml:space="preserve"> 与握手关系 (2.3)，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τκ=τ⟨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sz w:val="21"/>
          <w:szCs w:val="21"/>
        </w:rPr>
        <w:t xml:space="preserve">	(3.19)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=[τ⟨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-1</w:t>
      </w:r>
      <w:r>
        <w:rPr>
          <w:rFonts w:ascii="Cambria Math" w:eastAsia="SimSun" w:hAnsi="Cambria Math"/>
          <w:sz w:val="21"/>
          <w:szCs w:val="21"/>
        </w:rPr>
        <w:t xml:space="preserve">	(3.20)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在两条边际度序列固定时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的严格减函数：正的入出度相关促进传播。这一方向与成对有向图上的 SIR 一致——那里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 同样经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依赖于入出度的协方差 [2]；(3.20) 把该依赖推广到有向超图，并显式给出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 的系数。需要提醒的是这一方向并非普适于一切传播机制：有向网络的阈值型级联中，正的入出度相关反而提高系统稳健性 [46]。二者并不冲突——阈值模型按活跃邻居的比例判定激活，高入度抬高激活门槛；SIR 中高入度只增加暴露，故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同时偏大的节点在 SIR 中放大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，在阈值级联中却既难被激活又本可广播。这是第 6 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扫描的定量预言。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一个否定性推论。</w:t>
      </w:r>
      <w:r>
        <w:rPr>
          <w:rFonts w:ascii="Times New Roman" w:cs="Times New Roman" w:eastAsia="SimSun" w:hAnsi="Times New Roman"/>
        </w:rPr>
        <w:t xml:space="preserve"> (3.17) 只依赖于阶数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与双度序列（经由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）。更强地说，(3.4) 与 (3.5) 也只读取双度序列，故整个闭合而不止阈值都看不见重叠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。由 2.3 的求和规则，双度序列锁死的只是四个通道的重叠总量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，并不锁死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本身，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因而在固定度序列下仍是可动的自由度。这不是疏漏而是可检验的预言：重叠恰好度量超边之间共享节点的程度，也就是 (H1) 所排除的短回路。第 6 节若测得阈值随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移动，其幅度即为树状闭合失效的定量刻度；若测不到，则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的作用只体现在阈值以外的量上。但须说明，可动不等于易动：单纯的保度双边交换只能把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挪动 </w:t>
      </w:r>
      <w:r>
        <w:rPr>
          <w:rFonts w:ascii="Cambria Math" w:eastAsia="SimSun" w:hAnsi="Cambria Math"/>
          <w:i w:val="false"/>
          <w:iCs w:val="false"/>
        </w:rPr>
        <w:t xml:space="preserve">0.005</w:t>
      </w:r>
      <w:r>
        <w:rPr>
          <w:rFonts w:ascii="Times New Roman" w:cs="Times New Roman" w:eastAsia="SimSun" w:hAnsi="Times New Roman"/>
        </w:rPr>
        <w:t xml:space="preserve">–</w:t>
      </w:r>
      <w:r>
        <w:rPr>
          <w:rFonts w:ascii="Cambria Math" w:eastAsia="SimSun" w:hAnsi="Cambria Math"/>
          <w:i w:val="false"/>
          <w:iCs w:val="false"/>
        </w:rPr>
        <w:t xml:space="preserve">0.006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=150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=500</w:t>
      </w:r>
      <w:r>
        <w:rPr>
          <w:rFonts w:ascii="Times New Roman" w:cs="Times New Roman" w:eastAsia="SimSun" w:hAnsi="Times New Roman"/>
        </w:rPr>
        <w:t xml:space="preserve"> 两处测量），在如此窄的区间上仿真的变化不可分辨，因而检验这一预言必须先有第 5 节的定向重连工具把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推到有意义的范围。极性失衡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是例外，它可被驱动到 </w:t>
      </w:r>
      <w:r>
        <w:rPr>
          <w:rFonts w:ascii="Cambria Math" w:eastAsia="SimSun" w:hAnsi="Cambria Math"/>
          <w:i w:val="false"/>
          <w:iCs w:val="false"/>
        </w:rPr>
        <w:t xml:space="preserve">0.108</w:t>
      </w:r>
      <w:r>
        <w:rPr>
          <w:rFonts w:ascii="Times New Roman" w:cs="Times New Roman" w:eastAsia="SimSun" w:hAnsi="Times New Roman"/>
        </w:rPr>
        <w:t xml:space="preserve">，故第 6 节对它的上界测量不受此限。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3.4. 与均场闭合的比较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同一模型的度均场闭合是：设节点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的感染概率为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Times New Roman" w:cs="Times New Roman" w:eastAsia="SimSun" w:hAnsi="Times New Roman"/>
        </w:rPr>
        <w:t xml:space="preserve">，把其入超边的激活概率取为系综平均 </w:t>
      </w:r>
      <w:r>
        <w:rPr>
          <w:rFonts w:ascii="Cambria Math" w:eastAsia="SimSun" w:hAnsi="Cambria Math"/>
          <w:i w:val="false"/>
          <w:iCs w:val="false"/>
        </w:rPr>
        <w:t xml:space="preserve">Θ=1-(1-φ)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），其中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/Σ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为尾槽被感染节点占据的比例，则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sz w:val="21"/>
          <w:szCs w:val="21"/>
        </w:rPr>
        <w:t xml:space="preserve">	(3.21)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线性化给出 </w:t>
      </w:r>
      <w:r>
        <w:rPr>
          <w:rFonts w:ascii="Cambria Math" w:eastAsia="SimSun" w:hAnsi="Cambria Math"/>
          <w:i w:val="false"/>
          <w:iCs w:val="false"/>
        </w:rPr>
        <w:t xml:space="preserve">φ̇=(βτκ-μ)φ</w:t>
      </w:r>
      <w:r>
        <w:rPr>
          <w:rFonts w:ascii="Times New Roman" w:cs="Times New Roman" w:eastAsia="SimSun" w:hAnsi="Times New Roman"/>
        </w:rPr>
        <w:t xml:space="preserve">，即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=(1)/(τκ)</w:t>
      </w:r>
      <w:r>
        <w:rPr>
          <w:rFonts w:ascii="Cambria Math" w:eastAsia="SimSun" w:hAnsi="Cambria Math"/>
          <w:sz w:val="21"/>
          <w:szCs w:val="21"/>
        </w:rPr>
        <w:t xml:space="preserve">	(3.22)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(3.17) 相比，均场丢掉的恰是分母中的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，其来源可以精确指出：均场把一个尾成员在整个感染期内向同一头成员的传递概率记作 </w:t>
      </w:r>
      <w:r>
        <w:rPr>
          <w:rFonts w:ascii="Cambria Math" w:eastAsia="SimSun" w:hAnsi="Cambria Math"/>
          <w:i w:val="false"/>
          <w:iCs w:val="false"/>
        </w:rPr>
        <w:t xml:space="preserve">β/μ=λ</w:t>
      </w:r>
      <w:r>
        <w:rPr>
          <w:rFonts w:ascii="Times New Roman" w:cs="Times New Roman" w:eastAsia="SimSun" w:hAnsi="Times New Roman"/>
        </w:rPr>
        <w:t xml:space="preserve">，而实际为 </w:t>
      </w:r>
      <w:r>
        <w:rPr>
          <w:rFonts w:ascii="Cambria Math" w:eastAsia="SimSun" w:hAnsi="Cambria Math"/>
          <w:i w:val="false"/>
          <w:iCs w:val="false"/>
        </w:rPr>
        <w:t xml:space="preserve">β/(β+μ)=λ/(1+λ)</w:t>
      </w:r>
      <w:r>
        <w:rPr>
          <w:rFonts w:ascii="Times New Roman" w:cs="Times New Roman" w:eastAsia="SimSun" w:hAnsi="Times New Roman"/>
        </w:rPr>
        <w:t xml:space="preserve">——超边一旦向某头成员传递即对它用尽，均场没有这一条件。相对误差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)=(τκ)/(τκ-1)</w:t>
      </w:r>
      <w:r>
        <w:rPr>
          <w:rFonts w:ascii="Cambria Math" w:eastAsia="SimSun" w:hAnsi="Cambria Math"/>
          <w:sz w:val="21"/>
          <w:szCs w:val="21"/>
        </w:rPr>
        <w:t xml:space="preserve">	(3.23)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 </w:t>
      </w:r>
      <w:r>
        <w:rPr>
          <w:rFonts w:ascii="Cambria Math" w:eastAsia="SimSun" w:hAnsi="Cambria Math"/>
          <w:i w:val="false"/>
          <w:iCs w:val="false"/>
        </w:rPr>
        <w:t xml:space="preserve">τκ→1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+</w:t>
      </w:r>
      <w:r>
        <w:rPr>
          <w:rFonts w:ascii="Times New Roman" w:cs="Times New Roman" w:eastAsia="SimSun" w:hAnsi="Times New Roman"/>
        </w:rPr>
        <w:t xml:space="preserve"> 时发散：均场的误差在阈值邻域最大，而这正是最需要理论的区域。这与成对网络上 EBCM 相对均场的增益同源 [33, 44]，本文把它推广到有向超图并给出闭式。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需要说明，(3.21) 是我们为本模型构造的均场对照，而非 [27] 中模型的复述——后者是社会传播而非 SIR，其方向性由单一标量强度参数调节。此处比较的是闭合层级，不是两项工作的模型。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3.5. 数值校验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校验分三层：闭合内部的自洽、闭合对精确仿真的复现、以及结构预言。脚本见 </w:t>
      </w:r>
      <w:r>
        <w:rPr>
          <w:rFonts w:ascii="Consolas" w:eastAsia="SimSun" w:hAnsi="Consolas"/>
        </w:rPr>
        <w:t xml:space="preserve">tools/ebcm_directed.py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onsolas" w:eastAsia="SimSun" w:hAnsi="Consolas"/>
        </w:rPr>
        <w:t xml:space="preserve">tools/section3_data.py</w:t>
      </w:r>
      <w:r>
        <w:rPr>
          <w:rFonts w:ascii="Times New Roman" w:cs="Times New Roman" w:eastAsia="SimSun" w:hAnsi="Times New Roman"/>
        </w:rPr>
        <w:t xml:space="preserve">；仿真为 2.2 所定义连续时间 Markov 过程的精确 Gillespie 抽样 [16]，取 </w:t>
      </w:r>
      <w:r>
        <w:rPr>
          <w:rFonts w:ascii="Cambria Math" w:eastAsia="SimSun" w:hAnsi="Cambria Math"/>
          <w:i w:val="false"/>
          <w:iCs w:val="false"/>
        </w:rPr>
        <w:t xml:space="preserve">μ=1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内部自洽。</w:t>
      </w:r>
      <w:r>
        <w:rPr>
          <w:rFonts w:ascii="Times New Roman" w:cs="Times New Roman" w:eastAsia="SimSun" w:hAnsi="Times New Roman"/>
        </w:rPr>
        <w:t xml:space="preserve"> 恒等式 (3.14) 的残差随 Euler 步长线性收敛：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0.008</w:t>
      </w:r>
      <w:r>
        <w:rPr>
          <w:rFonts w:ascii="Times New Roman" w:cs="Times New Roman" w:eastAsia="SimSun" w:hAnsi="Times New Roman"/>
        </w:rPr>
        <w:t xml:space="preserve"> 逐次减半至 </w:t>
      </w:r>
      <w:r>
        <w:rPr>
          <w:rFonts w:ascii="Cambria Math" w:eastAsia="SimSun" w:hAnsi="Cambria Math"/>
          <w:i w:val="false"/>
          <w:iCs w:val="false"/>
        </w:rPr>
        <w:t xml:space="preserve">0.001</w:t>
      </w:r>
      <w:r>
        <w:rPr>
          <w:rFonts w:ascii="Times New Roman" w:cs="Times New Roman" w:eastAsia="SimSun" w:hAnsi="Times New Roman"/>
        </w:rPr>
        <w:t xml:space="preserve"> 时，最大残差由 </w:t>
      </w:r>
      <w:r>
        <w:rPr>
          <w:rFonts w:ascii="Cambria Math" w:eastAsia="SimSun" w:hAnsi="Cambria Math"/>
          <w:i w:val="false"/>
          <w:iCs w:val="false"/>
        </w:rPr>
        <w:t xml:space="preserve">7.13×10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 降至 </w:t>
      </w:r>
      <w:r>
        <w:rPr>
          <w:rFonts w:ascii="Cambria Math" w:eastAsia="SimSun" w:hAnsi="Cambria Math"/>
          <w:i w:val="false"/>
          <w:iCs w:val="false"/>
        </w:rPr>
        <w:t xml:space="preserve">8.89×10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，相邻比值三次均为 </w:t>
      </w:r>
      <w:r>
        <w:rPr>
          <w:rFonts w:ascii="Cambria Math" w:eastAsia="SimSun" w:hAnsi="Cambria Math"/>
          <w:i w:val="false"/>
          <w:iCs w:val="false"/>
        </w:rPr>
        <w:t xml:space="preserve">2.00</w:t>
      </w:r>
      <w:r>
        <w:rPr>
          <w:rFonts w:ascii="Times New Roman" w:cs="Times New Roman" w:eastAsia="SimSun" w:hAnsi="Times New Roman"/>
        </w:rPr>
        <w:t xml:space="preserve">。残差因而是积分误差而非闭合的破缺。两种分支计数 (3.18) 在 </w:t>
      </w:r>
      <w:r>
        <w:rPr>
          <w:rFonts w:ascii="Cambria Math" w:eastAsia="SimSun" w:hAnsi="Cambria Math"/>
          <w:i w:val="false"/>
          <w:iCs w:val="false"/>
        </w:rPr>
        <w:t xml:space="preserve">(τ,η)=(2,2),(3,1),(1,3),(2,3)</w:t>
      </w:r>
      <w:r>
        <w:rPr>
          <w:rFonts w:ascii="Times New Roman" w:cs="Times New Roman" w:eastAsia="SimSun" w:hAnsi="Times New Roman"/>
        </w:rPr>
        <w:t xml:space="preserve"> 上的相对差不超过 </w:t>
      </w:r>
      <w:r>
        <w:rPr>
          <w:rFonts w:ascii="Cambria Math" w:eastAsia="SimSun" w:hAnsi="Cambria Math"/>
          <w:i w:val="false"/>
          <w:iCs w:val="false"/>
        </w:rPr>
        <w:t xml:space="preserve">2×10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；(3.20) 与 (3.17) 在全部 </w:t>
      </w:r>
      <w:r>
        <w:rPr>
          <w:rFonts w:ascii="Cambria Math" w:eastAsia="SimSun" w:hAnsi="Cambria Math"/>
          <w:i w:val="false"/>
          <w:iCs w:val="false"/>
        </w:rPr>
        <w:t xml:space="preserve">45</w:t>
      </w:r>
      <w:r>
        <w:rPr>
          <w:rFonts w:ascii="Times New Roman" w:cs="Times New Roman" w:eastAsia="SimSun" w:hAnsi="Times New Roman"/>
        </w:rPr>
        <w:t xml:space="preserve"> 个位形模型实现上的相对差不超过 </w:t>
      </w:r>
      <w:r>
        <w:rPr>
          <w:rFonts w:ascii="Cambria Math" w:eastAsia="SimSun" w:hAnsi="Cambria Math"/>
          <w:i w:val="false"/>
          <w:iCs w:val="false"/>
        </w:rPr>
        <w:t xml:space="preserve">4×10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，即经由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的改写是恒等的。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 w:val="false"/>
          <w:iCs w:val="false"/>
        </w:rPr>
        <w:t xml:space="preserve">4000</w:t>
      </w:r>
      <w:r>
        <w:rPr>
          <w:rFonts w:ascii="Times New Roman" w:cs="Times New Roman" w:eastAsia="SimSun" w:hAnsi="Times New Roman"/>
        </w:rPr>
        <w:t xml:space="preserve"> 次保度双边交换下的改变量恰为零，与本节的否定性推论一致。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阈值公式 (3.17) 与方程组自身的失稳点独立比对：对 (3.9) 由 </w:t>
      </w:r>
      <w:r>
        <w:rPr>
          <w:rFonts w:ascii="Cambria Math" w:eastAsia="SimSun" w:hAnsi="Cambria Math"/>
          <w:i w:val="false"/>
          <w:iCs w:val="false"/>
        </w:rPr>
        <w:t xml:space="preserve">ε=10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 出发积分，以终态是否宏观为判据对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二分，全过程不使用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。所得阈值随积分窗口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Times New Roman" w:cs="Times New Roman" w:eastAsia="SimSun" w:hAnsi="Times New Roman"/>
        </w:rPr>
        <w:t xml:space="preserve"> 单调趋近预言值——相对偏差在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</w:rPr>
        <w:t xml:space="preserve">=200,400,1600,6400</w:t>
      </w:r>
      <w:r>
        <w:rPr>
          <w:rFonts w:ascii="Times New Roman" w:cs="Times New Roman" w:eastAsia="SimSun" w:hAnsi="Times New Roman"/>
        </w:rPr>
        <w:t xml:space="preserve"> 处依次为 </w:t>
      </w:r>
      <w:r>
        <w:rPr>
          <w:rFonts w:ascii="Cambria Math" w:eastAsia="SimSun" w:hAnsi="Cambria Math"/>
          <w:i w:val="false"/>
          <w:iCs w:val="false"/>
        </w:rPr>
        <w:t xml:space="preserve">2.7×10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1.1×10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1.6×10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4.8×10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。偏差来自阈值邻域增长率趋零、有限窗口内尚未展开，而非公式本身。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含时复现。</w:t>
      </w:r>
      <w:r>
        <w:rPr>
          <w:rFonts w:ascii="Times New Roman" w:cs="Times New Roman" w:eastAsia="SimSun" w:hAnsi="Times New Roman"/>
        </w:rPr>
        <w:t xml:space="preserve"> 图 1 给出 </w:t>
      </w:r>
      <w:r>
        <w:rPr>
          <w:rFonts w:ascii="Cambria Math" w:eastAsia="SimSun" w:hAnsi="Cambria Math"/>
          <w:i w:val="false"/>
          <w:iCs w:val="false"/>
        </w:rPr>
        <w:t xml:space="preserve">τ=η=2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=6000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λ=1.6λ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下的完整时间演化。并发型 EBCM 与仿真在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上的最大偏差分别为 </w:t>
      </w:r>
      <w:r>
        <w:rPr>
          <w:rFonts w:ascii="Cambria Math" w:eastAsia="SimSun" w:hAnsi="Cambria Math"/>
          <w:i w:val="false"/>
          <w:iCs w:val="false"/>
        </w:rPr>
        <w:t xml:space="preserve">0.0031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0.0008</w:t>
      </w:r>
      <w:r>
        <w:rPr>
          <w:rFonts w:ascii="Times New Roman" w:cs="Times New Roman" w:eastAsia="SimSun" w:hAnsi="Times New Roman"/>
        </w:rPr>
        <w:t xml:space="preserve">，均小于图中线宽；峰位完全重合（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=4.50</w:t>
      </w:r>
      <w:r>
        <w:rPr>
          <w:rFonts w:ascii="Times New Roman" w:cs="Times New Roman" w:eastAsia="SimSun" w:hAnsi="Times New Roman"/>
        </w:rPr>
        <w:t xml:space="preserve">），峰高相差 </w:t>
      </w:r>
      <w:r>
        <w:rPr>
          <w:rFonts w:ascii="Cambria Math" w:eastAsia="SimSun" w:hAnsi="Cambria Math"/>
          <w:i w:val="false"/>
          <w:iCs w:val="false"/>
        </w:rPr>
        <w:t xml:space="preserve">1.3%</w:t>
      </w:r>
      <w:r>
        <w:rPr>
          <w:rFonts w:ascii="Times New Roman" w:cs="Times New Roman" w:eastAsia="SimSun" w:hAnsi="Times New Roman"/>
        </w:rPr>
        <w:t xml:space="preserve">。均场则把峰值由 </w:t>
      </w:r>
      <w:r>
        <w:rPr>
          <w:rFonts w:ascii="Cambria Math" w:eastAsia="SimSun" w:hAnsi="Cambria Math"/>
          <w:i w:val="false"/>
          <w:iCs w:val="false"/>
        </w:rPr>
        <w:t xml:space="preserve">0.059</w:t>
      </w:r>
      <w:r>
        <w:rPr>
          <w:rFonts w:ascii="Times New Roman" w:cs="Times New Roman" w:eastAsia="SimSun" w:hAnsi="Times New Roman"/>
        </w:rPr>
        <w:t xml:space="preserve"> 抬到 </w:t>
      </w:r>
      <w:r>
        <w:rPr>
          <w:rFonts w:ascii="Cambria Math" w:eastAsia="SimSun" w:hAnsi="Cambria Math"/>
          <w:i w:val="false"/>
          <w:iCs w:val="false"/>
        </w:rPr>
        <w:t xml:space="preserve">0.117</w:t>
      </w:r>
      <w:r>
        <w:rPr>
          <w:rFonts w:ascii="Times New Roman" w:cs="Times New Roman" w:eastAsia="SimSun" w:hAnsi="Times New Roman"/>
        </w:rPr>
        <w:t xml:space="preserve">（约一倍），并把峰位由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=4.50</w:t>
      </w:r>
      <w:r>
        <w:rPr>
          <w:rFonts w:ascii="Times New Roman" w:cs="Times New Roman" w:eastAsia="SimSun" w:hAnsi="Times New Roman"/>
        </w:rPr>
        <w:t xml:space="preserve"> 提前到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=3.75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029200" cy="1983914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1983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1　有向超图 SIR 的含时演化，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τ=η=2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λ=1.6λ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、初始感染比例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ε=0.01</w:t>
      </w:r>
      <w:r>
        <w:rPr>
          <w:rFonts w:ascii="Times New Roman" w:cs="Times New Roman" w:eastAsia="SimSun" w:hAnsi="Times New Roman"/>
          <w:sz w:val="19"/>
          <w:szCs w:val="19"/>
        </w:rPr>
        <w:t xml:space="preserve">。黑线为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次独立 Gillespie 实现的均值，灰带为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置信区间，最宽处约与线宽相当；蓝虚线为并发型 EBCM (3.9)，橙点线为均场闭合 (3.21)。(a) 易感比例；(b) 感染比例。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定量校验。</w:t>
      </w:r>
      <w:r>
        <w:rPr>
          <w:rFonts w:ascii="Times New Roman" w:cs="Times New Roman" w:eastAsia="SimSun" w:hAnsi="Times New Roman"/>
        </w:rPr>
        <w:t xml:space="preserve"> 图 2 汇总三项定量比较。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029200" cy="229739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297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2　闭合的定量校验。(a)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≤12</w:t>
      </w:r>
      <w:r>
        <w:rPr>
          <w:rFonts w:ascii="Times New Roman" w:cs="Times New Roman" w:eastAsia="SimSun" w:hAnsi="Times New Roman"/>
          <w:sz w:val="19"/>
          <w:szCs w:val="19"/>
        </w:rPr>
        <w:t xml:space="preserve"> 上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S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(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)</w:t>
      </w:r>
      <w:r>
        <w:rPr>
          <w:rFonts w:ascii="Times New Roman" w:cs="Times New Roman" w:eastAsia="SimSun" w:hAnsi="Times New Roman"/>
          <w:sz w:val="19"/>
          <w:szCs w:val="19"/>
        </w:rPr>
        <w:t xml:space="preserve"> 的平均绝对偏差随系统规模的变化；初始感染比例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ε=0.01</w:t>
      </w:r>
      <w:r>
        <w:rPr>
          <w:rFonts w:ascii="Times New Roman" w:cs="Times New Roman" w:eastAsia="SimSun" w:hAnsi="Times New Roman"/>
          <w:sz w:val="19"/>
          <w:szCs w:val="19"/>
        </w:rPr>
        <w:t xml:space="preserve">，除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Times New Roman" w:cs="Times New Roman" w:eastAsia="SimSun" w:hAnsi="Times New Roman"/>
          <w:sz w:val="19"/>
          <w:szCs w:val="19"/>
        </w:rPr>
        <w:t xml:space="preserve"> 外生成参数、仿真次数与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λ/λ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全部固定，每点为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个独立结构的均值，误差棒为结构间标准误，灰点划线为加权幂律拟合，指数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-1.2</w:t>
      </w:r>
      <w:r>
        <w:rPr>
          <w:rFonts w:ascii="Times New Roman" w:cs="Times New Roman" w:eastAsia="SimSun" w:hAnsi="Times New Roman"/>
          <w:sz w:val="19"/>
          <w:szCs w:val="19"/>
        </w:rPr>
        <w:t xml:space="preserve">（子集拟合散布约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±0.2</w:t>
      </w:r>
      <w:r>
        <w:rPr>
          <w:rFonts w:ascii="Times New Roman" w:cs="Times New Roman" w:eastAsia="SimSun" w:hAnsi="Times New Roman"/>
          <w:sz w:val="19"/>
          <w:szCs w:val="19"/>
        </w:rPr>
        <w:t xml:space="preserve">，与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-1</w:t>
      </w:r>
      <w:r>
        <w:rPr>
          <w:rFonts w:ascii="Times New Roman" w:cs="Times New Roman" w:eastAsia="SimSun" w:hAnsi="Times New Roman"/>
          <w:sz w:val="19"/>
          <w:szCs w:val="19"/>
        </w:rPr>
        <w:t xml:space="preserve"> 相容）。(b) 终态规模随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λ/λ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的变化，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，初始感染比例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ε=0.005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，每点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次实现，误差棒为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置信区间。(c) 爆发阈值随入出度相关的变化，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=3000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，每点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5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个独立双度序列，两个方向的误差棒均为标准误，实线为 (3.20)。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2(a) 分离出两种误差的不同性质。EBCM 的偏差随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幂律衰减，四点加权拟合给出指数 </w:t>
      </w:r>
      <w:r>
        <w:rPr>
          <w:rFonts w:ascii="Cambria Math" w:eastAsia="SimSun" w:hAnsi="Cambria Math"/>
          <w:i w:val="false"/>
          <w:iCs w:val="false"/>
        </w:rPr>
        <w:t xml:space="preserve">-1.22±0.05</w:t>
      </w:r>
      <w:r>
        <w:rPr>
          <w:rFonts w:ascii="Times New Roman" w:cs="Times New Roman" w:eastAsia="SimSun" w:hAnsi="Times New Roman"/>
        </w:rPr>
        <w:t xml:space="preserve">；但这一误差棒只是拟合的统计误差，改用子集重拟合得 </w:t>
      </w:r>
      <w:r>
        <w:rPr>
          <w:rFonts w:ascii="Cambria Math" w:eastAsia="SimSun" w:hAnsi="Cambria Math"/>
          <w:i w:val="false"/>
          <w:iCs w:val="false"/>
        </w:rPr>
        <w:t xml:space="preserve">-1.32±0.11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-1.21±0.10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-1.03±0.31</w:t>
      </w:r>
      <w:r>
        <w:rPr>
          <w:rFonts w:ascii="Times New Roman" w:cs="Times New Roman" w:eastAsia="SimSun" w:hAnsi="Times New Roman"/>
        </w:rPr>
        <w:t xml:space="preserve">，因而实际不确定度约 </w:t>
      </w:r>
      <w:r>
        <w:rPr>
          <w:rFonts w:ascii="Cambria Math" w:eastAsia="SimSun" w:hAnsi="Cambria Math"/>
          <w:i w:val="false"/>
          <w:iCs w:val="false"/>
        </w:rPr>
        <w:t xml:space="preserve">±0.2</w:t>
      </w:r>
      <w:r>
        <w:rPr>
          <w:rFonts w:ascii="Times New Roman" w:cs="Times New Roman" w:eastAsia="SimSun" w:hAnsi="Times New Roman"/>
        </w:rPr>
        <w:t xml:space="preserve">，数据尚不能把该指数与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区分开。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正是树状闭合所预期的：位形模型中短回路的密度为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。可以确定的是偏差趋于零。均场的偏差同样随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下降（</w:t>
      </w:r>
      <w:r>
        <w:rPr>
          <w:rFonts w:ascii="Cambria Math" w:eastAsia="SimSun" w:hAnsi="Cambria Math"/>
          <w:i w:val="false"/>
          <w:iCs w:val="false"/>
        </w:rPr>
        <w:t xml:space="preserve">0.220→0.156</w:t>
      </w:r>
      <w:r>
        <w:rPr>
          <w:rFonts w:ascii="Times New Roman" w:cs="Times New Roman" w:eastAsia="SimSun" w:hAnsi="Times New Roman"/>
        </w:rPr>
        <w:t xml:space="preserve">），却按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外推到非零平台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=0.146±0.001</w:t>
      </w:r>
      <w:r>
        <w:rPr>
          <w:rFonts w:ascii="Times New Roman" w:cs="Times New Roman" w:eastAsia="SimSun" w:hAnsi="Times New Roman"/>
        </w:rPr>
        <w:t xml:space="preserve">（四种子集拟合的散布）。两者因而不是同一类误差：EBCM 的可以靠增大系统消除，均场的不能，因为那是闭合层级的误差。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=4000</w:t>
      </w:r>
      <w:r>
        <w:rPr>
          <w:rFonts w:ascii="Times New Roman" w:cs="Times New Roman" w:eastAsia="SimSun" w:hAnsi="Times New Roman"/>
        </w:rPr>
        <w:t xml:space="preserve"> 时二者相差 </w:t>
      </w:r>
      <w:r>
        <w:rPr>
          <w:rFonts w:ascii="Cambria Math" w:eastAsia="SimSun" w:hAnsi="Cambria Math"/>
          <w:i w:val="false"/>
          <w:iCs w:val="false"/>
        </w:rPr>
        <w:t xml:space="preserve">28</w:t>
      </w:r>
      <w:r>
        <w:rPr>
          <w:rFonts w:ascii="Times New Roman" w:cs="Times New Roman" w:eastAsia="SimSun" w:hAnsi="Times New Roman"/>
        </w:rPr>
        <w:t xml:space="preserve"> 倍。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2(b) 检验 (3.23) 所预言的形状——均场的误差集中在阈值邻域。均场把阈值压低到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</w:rPr>
        <w:t xml:space="preserve">=0.75λ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，因而在真实的亚临界区已给出宏观爆发：</w:t>
      </w:r>
      <w:r>
        <w:rPr>
          <w:rFonts w:ascii="Cambria Math" w:eastAsia="SimSun" w:hAnsi="Cambria Math"/>
          <w:i w:val="false"/>
          <w:iCs w:val="false"/>
        </w:rPr>
        <w:t xml:space="preserve">λ=0.9λ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 </w:t>
      </w:r>
      <w:r>
        <w:rPr>
          <w:rFonts w:ascii="Cambria Math" w:eastAsia="SimSun" w:hAnsi="Cambria Math"/>
          <w:i w:val="false"/>
          <w:iCs w:val="false"/>
        </w:rPr>
        <w:t xml:space="preserve">5.1</w:t>
      </w:r>
      <w:r>
        <w:rPr>
          <w:rFonts w:ascii="Times New Roman" w:cs="Times New Roman" w:eastAsia="SimSun" w:hAnsi="Times New Roman"/>
        </w:rPr>
        <w:t xml:space="preserve"> 倍、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 </w:t>
      </w:r>
      <w:r>
        <w:rPr>
          <w:rFonts w:ascii="Cambria Math" w:eastAsia="SimSun" w:hAnsi="Cambria Math"/>
          <w:i w:val="false"/>
          <w:iCs w:val="false"/>
        </w:rPr>
        <w:t xml:space="preserve">4.3</w:t>
      </w:r>
      <w:r>
        <w:rPr>
          <w:rFonts w:ascii="Times New Roman" w:cs="Times New Roman" w:eastAsia="SimSun" w:hAnsi="Times New Roman"/>
        </w:rPr>
        <w:t xml:space="preserve"> 倍，深超临界区才收敛到 </w:t>
      </w:r>
      <w:r>
        <w:rPr>
          <w:rFonts w:ascii="Cambria Math" w:eastAsia="SimSun" w:hAnsi="Cambria Math"/>
          <w:i w:val="false"/>
          <w:iCs w:val="false"/>
        </w:rPr>
        <w:t xml:space="preserve">1.2</w:t>
      </w:r>
      <w:r>
        <w:rPr>
          <w:rFonts w:ascii="Times New Roman" w:cs="Times New Roman" w:eastAsia="SimSun" w:hAnsi="Times New Roman"/>
        </w:rPr>
        <w:t xml:space="preserve"> 倍。第 1 节所称"边基闭合相对均场的增益"由此定量化：增益不是均匀的百分数，而集中在最需要理论的区域。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同一张图也暴露出 EBCM 自身的限度，须如实报告。偏差在深超临界区最小（</w:t>
      </w:r>
      <w:r>
        <w:rPr>
          <w:rFonts w:ascii="Cambria Math" w:eastAsia="SimSun" w:hAnsi="Cambria Math"/>
          <w:i w:val="false"/>
          <w:iCs w:val="false"/>
        </w:rPr>
        <w:t xml:space="preserve">λ≥1.6λ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 </w:t>
      </w:r>
      <w:r>
        <w:rPr>
          <w:rFonts w:ascii="Cambria Math" w:eastAsia="SimSun" w:hAnsi="Cambria Math"/>
          <w:i w:val="false"/>
          <w:iCs w:val="false"/>
        </w:rPr>
        <w:t xml:space="preserve">≤0.7%</w:t>
      </w:r>
      <w:r>
        <w:rPr>
          <w:rFonts w:ascii="Times New Roman" w:cs="Times New Roman" w:eastAsia="SimSun" w:hAnsi="Times New Roman"/>
        </w:rPr>
        <w:t xml:space="preserve">），亚临界侧为 </w:t>
      </w:r>
      <w:r>
        <w:rPr>
          <w:rFonts w:ascii="Cambria Math" w:eastAsia="SimSun" w:hAnsi="Cambria Math"/>
          <w:i w:val="false"/>
          <w:iCs w:val="false"/>
        </w:rPr>
        <w:t xml:space="preserve">+3.3%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0.6λ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）与 </w:t>
      </w:r>
      <w:r>
        <w:rPr>
          <w:rFonts w:ascii="Cambria Math" w:eastAsia="SimSun" w:hAnsi="Cambria Math"/>
          <w:i w:val="false"/>
          <w:iCs w:val="false"/>
        </w:rPr>
        <w:t xml:space="preserve">+1.7%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0.8λ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），而在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1.1λ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 EBCM 系统性高估 </w:t>
      </w:r>
      <w:r>
        <w:rPr>
          <w:rFonts w:ascii="Cambria Math" w:eastAsia="SimSun" w:hAnsi="Cambria Math"/>
          <w:i w:val="false"/>
          <w:iCs w:val="false"/>
        </w:rPr>
        <w:t xml:space="preserve">18%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19%</w:t>
      </w:r>
      <w:r>
        <w:rPr>
          <w:rFonts w:ascii="Times New Roman" w:cs="Times New Roman" w:eastAsia="SimSun" w:hAnsi="Times New Roman"/>
        </w:rPr>
        <w:t xml:space="preserve">（分别为 </w:t>
      </w:r>
      <w:r>
        <w:rPr>
          <w:rFonts w:ascii="Cambria Math" w:eastAsia="SimSun" w:hAnsi="Cambria Math"/>
          <w:i w:val="false"/>
          <w:iCs w:val="false"/>
        </w:rPr>
        <w:t xml:space="preserve">6.9σ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8.4σ</w:t>
      </w:r>
      <w:r>
        <w:rPr>
          <w:rFonts w:ascii="Times New Roman" w:cs="Times New Roman" w:eastAsia="SimSun" w:hAnsi="Times New Roman"/>
        </w:rPr>
        <w:t xml:space="preserve">）。偏差在亚临界区与阈值邻域一律为正，并在阈值邻域出现尖峰，深超临界区则收敛到零。这一高估是有限尺寸效应而非闭合误差，已直接验证：在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处固定 </w:t>
      </w:r>
      <w:r>
        <w:rPr>
          <w:rFonts w:ascii="Cambria Math" w:eastAsia="SimSun" w:hAnsi="Cambria Math"/>
          <w:i w:val="false"/>
          <w:iCs w:val="false"/>
        </w:rPr>
        <w:t xml:space="preserve">ε=0.005</w:t>
      </w:r>
      <w:r>
        <w:rPr>
          <w:rFonts w:ascii="Times New Roman" w:cs="Times New Roman" w:eastAsia="SimSun" w:hAnsi="Times New Roman"/>
        </w:rPr>
        <w:t xml:space="preserve">、每点取 </w:t>
      </w:r>
      <w:r>
        <w:rPr>
          <w:rFonts w:ascii="Cambria Math" w:eastAsia="SimSun" w:hAnsi="Cambria Math"/>
          <w:i w:val="false"/>
          <w:iCs w:val="false"/>
        </w:rPr>
        <w:t xml:space="preserve">3</w:t>
      </w:r>
      <w:r>
        <w:rPr>
          <w:rFonts w:ascii="Times New Roman" w:cs="Times New Roman" w:eastAsia="SimSun" w:hAnsi="Times New Roman"/>
        </w:rPr>
        <w:t xml:space="preserve"> 个独立结构逐一增大系统，高估由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=1000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+54%</w:t>
      </w:r>
      <w:r>
        <w:rPr>
          <w:rFonts w:ascii="Times New Roman" w:cs="Times New Roman" w:eastAsia="SimSun" w:hAnsi="Times New Roman"/>
        </w:rPr>
        <w:t xml:space="preserve"> 单调降至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=16000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+4.4%</w:t>
      </w:r>
      <w:r>
        <w:rPr>
          <w:rFonts w:ascii="Times New Roman" w:cs="Times New Roman" w:eastAsia="SimSun" w:hAnsi="Times New Roman"/>
        </w:rPr>
        <w:t xml:space="preserve">——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增大 </w:t>
      </w:r>
      <w:r>
        <w:rPr>
          <w:rFonts w:ascii="Cambria Math" w:eastAsia="SimSun" w:hAnsi="Cambria Math"/>
          <w:i w:val="false"/>
          <w:iCs w:val="false"/>
        </w:rPr>
        <w:t xml:space="preserve">16</w:t>
      </w:r>
      <w:r>
        <w:rPr>
          <w:rFonts w:ascii="Times New Roman" w:cs="Times New Roman" w:eastAsia="SimSun" w:hAnsi="Times New Roman"/>
        </w:rPr>
        <w:t xml:space="preserve"> 倍，高估缩小约 </w:t>
      </w:r>
      <w:r>
        <w:rPr>
          <w:rFonts w:ascii="Cambria Math" w:eastAsia="SimSun" w:hAnsi="Cambria Math"/>
          <w:i w:val="false"/>
          <w:iCs w:val="false"/>
        </w:rPr>
        <w:t xml:space="preserve">12</w:t>
      </w:r>
      <w:r>
        <w:rPr>
          <w:rFonts w:ascii="Times New Roman" w:cs="Times New Roman" w:eastAsia="SimSun" w:hAnsi="Times New Roman"/>
        </w:rPr>
        <w:t xml:space="preserve"> 倍。这与 (3.4)–(3.9) 是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理论一致（阈值邻域关联长度发散，有限系统的偏离在此最大），也与均场那个不随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消失的平台形成对照。即便如此，生产运行仍须在阈值邻域做有限尺寸标度外推，不能直接引用有限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的 EBCM 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2(c) 给出阈值对结构的依赖。保持两条边际度序列不变、只重新配置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∈[-0.89,+0.89]</w:t>
      </w:r>
      <w:r>
        <w:rPr>
          <w:rFonts w:ascii="Times New Roman" w:cs="Times New Roman" w:eastAsia="SimSun" w:hAnsi="Times New Roman"/>
        </w:rPr>
        <w:t xml:space="preserve"> 上从 </w:t>
      </w:r>
      <w:r>
        <w:rPr>
          <w:rFonts w:ascii="Cambria Math" w:eastAsia="SimSun" w:hAnsi="Cambria Math"/>
          <w:i w:val="false"/>
          <w:iCs w:val="false"/>
        </w:rPr>
        <w:t xml:space="preserve">0.803</w:t>
      </w:r>
      <w:r>
        <w:rPr>
          <w:rFonts w:ascii="Times New Roman" w:cs="Times New Roman" w:eastAsia="SimSun" w:hAnsi="Times New Roman"/>
        </w:rPr>
        <w:t xml:space="preserve"> 降到 </w:t>
      </w:r>
      <w:r>
        <w:rPr>
          <w:rFonts w:ascii="Cambria Math" w:eastAsia="SimSun" w:hAnsi="Cambria Math"/>
          <w:i w:val="false"/>
          <w:iCs w:val="false"/>
        </w:rPr>
        <w:t xml:space="preserve">0.209</w:t>
      </w:r>
      <w:r>
        <w:rPr>
          <w:rFonts w:ascii="Times New Roman" w:cs="Times New Roman" w:eastAsia="SimSun" w:hAnsi="Times New Roman"/>
        </w:rPr>
        <w:t xml:space="preserve">，变动近四倍，与 (3.20) 逐点吻合。需要说明，图 2(c) 的纵轴由 (3.17) 经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算得，因而它检验的是"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能把阈值推到多远"以及改写 (3.20) 的恒等性，而非对阈值的独立测量；对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的仿真检验属于第 6 节。同时须记住 2.4 的宇称结论——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移动阈值，却不产生方向对称性破缺，二者并不矛盾。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独立复算。</w:t>
      </w:r>
      <w:r>
        <w:rPr>
          <w:rFonts w:ascii="Times New Roman" w:cs="Times New Roman" w:eastAsia="SimSun" w:hAnsi="Times New Roman"/>
        </w:rPr>
        <w:t xml:space="preserve"> 上述数字均由与原推导不共享路径的方式复核一遍（脚本 </w:t>
      </w:r>
      <w:r>
        <w:rPr>
          <w:rFonts w:ascii="Consolas" w:eastAsia="SimSun" w:hAnsi="Consolas"/>
        </w:rPr>
        <w:t xml:space="preserve">tools/section3_audit.py</w:t>
      </w:r>
      <w:r>
        <w:rPr>
          <w:rFonts w:ascii="Times New Roman" w:cs="Times New Roman" w:eastAsia="SimSun" w:hAnsi="Times New Roman"/>
        </w:rPr>
        <w:t xml:space="preserve">）。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时方程组可解析积出终态：由 </w:t>
      </w:r>
      <w:r>
        <w:rPr>
          <w:rFonts w:ascii="Cambria Math" w:eastAsia="SimSun" w:hAnsi="Cambria Math"/>
          <w:i w:val="false"/>
          <w:iCs w:val="false"/>
        </w:rPr>
        <w:t xml:space="preserve">Φ̇=-β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</w:rPr>
        <w:t xml:space="preserve">̇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</w:rPr>
        <w:t xml:space="preserve">=μ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010</w:t>
      </w:r>
      <w:r>
        <w:rPr>
          <w:rFonts w:ascii="Times New Roman" w:cs="Times New Roman" w:eastAsia="SimSun" w:hAnsi="Times New Roman"/>
        </w:rPr>
        <w:t xml:space="preserve"> 得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</w:rPr>
        <w:t xml:space="preserve">=λ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Cambria Math" w:eastAsia="SimSun" w:hAnsi="Cambria Math"/>
          <w:i w:val="false"/>
          <w:iCs w:val="false"/>
        </w:rPr>
        <w:t xml:space="preserve">(1-Φ)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∞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=(1+λ 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∞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))/(1+λ)</w:t>
      </w:r>
      <w:r>
        <w:rPr>
          <w:rFonts w:ascii="Cambria Math" w:eastAsia="SimSun" w:hAnsi="Cambria Math"/>
          <w:sz w:val="21"/>
          <w:szCs w:val="21"/>
        </w:rPr>
        <w:t xml:space="preserve">	(3.24)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这是一个标量不动点，求解不涉及积分器；三组参数下它与 RK4 积分的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 相差不超过 </w:t>
      </w:r>
      <w:r>
        <w:rPr>
          <w:rFonts w:ascii="Cambria Math" w:eastAsia="SimSun" w:hAnsi="Cambria Math"/>
          <w:i w:val="false"/>
          <w:iCs w:val="false"/>
        </w:rPr>
        <w:t xml:space="preserve">8×10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-14</w:t>
      </w:r>
      <w:r>
        <w:rPr>
          <w:rFonts w:ascii="Times New Roman" w:cs="Times New Roman" w:eastAsia="SimSun" w:hAnsi="Times New Roman"/>
        </w:rPr>
        <w:t xml:space="preserve">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 β/(β+μ)</w:t>
      </w:r>
      <w:r>
        <w:rPr>
          <w:rFonts w:ascii="Times New Roman" w:cs="Times New Roman" w:eastAsia="SimSun" w:hAnsi="Times New Roman"/>
        </w:rPr>
        <w:t xml:space="preserve"> 另由直接抽样复核：按头槽抽取节点（即按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偏置，与新感染节点的到达方式一致），赋以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(μ)</w:t>
      </w:r>
      <w:r>
        <w:rPr>
          <w:rFonts w:ascii="Times New Roman" w:cs="Times New Roman" w:eastAsia="SimSun" w:hAnsi="Times New Roman"/>
        </w:rPr>
        <w:t xml:space="preserve"> 感染期，对其每条出超边的每个头成员各跑一个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(β)</w:t>
      </w:r>
      <w:r>
        <w:rPr>
          <w:rFonts w:ascii="Times New Roman" w:cs="Times New Roman" w:eastAsia="SimSun" w:hAnsi="Times New Roman"/>
        </w:rPr>
        <w:t xml:space="preserve"> 时钟并计数子代；</w:t>
      </w:r>
      <w:r>
        <w:rPr>
          <w:rFonts w:ascii="Cambria Math" w:eastAsia="SimSun" w:hAnsi="Cambria Math"/>
          <w:i w:val="false"/>
          <w:iCs w:val="false"/>
        </w:rPr>
        <w:t xml:space="preserve">λ=0.3,0.8,2.0</w:t>
      </w:r>
      <w:r>
        <w:rPr>
          <w:rFonts w:ascii="Times New Roman" w:cs="Times New Roman" w:eastAsia="SimSun" w:hAnsi="Times New Roman"/>
        </w:rPr>
        <w:t xml:space="preserve"> 时测得值与预言的相对差分别为 </w:t>
      </w:r>
      <w:r>
        <w:rPr>
          <w:rFonts w:ascii="Cambria Math" w:eastAsia="SimSun" w:hAnsi="Cambria Math"/>
          <w:i w:val="false"/>
          <w:iCs w:val="false"/>
        </w:rPr>
        <w:t xml:space="preserve">4.0×10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5.4×10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，均在统计误差以内。该检验既不使用方程组也不使用 (3.24)。均场阈值 (3.22) 同样以其自身终态二分复核，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</w:rPr>
        <w:t xml:space="preserve">=6400</w:t>
      </w:r>
      <w:r>
        <w:rPr>
          <w:rFonts w:ascii="Times New Roman" w:cs="Times New Roman" w:eastAsia="SimSun" w:hAnsi="Times New Roman"/>
        </w:rPr>
        <w:t xml:space="preserve"> 时相对偏差 </w:t>
      </w:r>
      <w:r>
        <w:rPr>
          <w:rFonts w:ascii="Cambria Math" w:eastAsia="SimSun" w:hAnsi="Cambria Math"/>
          <w:i w:val="false"/>
          <w:iCs w:val="false"/>
        </w:rPr>
        <w:t xml:space="preserve">1.3×10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阈值本身也已由仿真独立测定，此前它只是理论值。亚临界区单个种子引发的簇平均总规模为 </w:t>
      </w:r>
      <w:r>
        <w:rPr>
          <w:rFonts w:ascii="Cambria Math" w:eastAsia="SimSun" w:hAnsi="Cambria Math"/>
          <w:i w:val="false"/>
          <w:iCs w:val="false"/>
        </w:rPr>
        <w:t xml:space="preserve">1/(1-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ε/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(∞)→1-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(λ)</w:t>
      </w:r>
      <w:r>
        <w:rPr>
          <w:rFonts w:ascii="Times New Roman" w:cs="Times New Roman" w:eastAsia="SimSun" w:hAnsi="Times New Roman"/>
        </w:rPr>
        <w:t xml:space="preserve">，该量在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处归零。在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=8000</w:t>
      </w:r>
      <w:r>
        <w:rPr>
          <w:rFonts w:ascii="Times New Roman" w:cs="Times New Roman" w:eastAsia="SimSun" w:hAnsi="Times New Roman"/>
        </w:rPr>
        <w:t xml:space="preserve"> 上取 </w:t>
      </w:r>
      <w:r>
        <w:rPr>
          <w:rFonts w:ascii="Cambria Math" w:eastAsia="SimSun" w:hAnsi="Cambria Math"/>
          <w:i w:val="false"/>
          <w:iCs w:val="false"/>
        </w:rPr>
        <w:t xml:space="preserve">λ/λ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∈[0.4,0.8]</w:t>
      </w:r>
      <w:r>
        <w:rPr>
          <w:rFonts w:ascii="Times New Roman" w:cs="Times New Roman" w:eastAsia="SimSun" w:hAnsi="Times New Roman"/>
        </w:rPr>
        <w:t xml:space="preserve"> 五点、初始感染比例 </w:t>
      </w:r>
      <w:r>
        <w:rPr>
          <w:rFonts w:ascii="Cambria Math" w:eastAsia="SimSun" w:hAnsi="Cambria Math"/>
          <w:i w:val="false"/>
          <w:iCs w:val="false"/>
        </w:rPr>
        <w:t xml:space="preserve">ε=0.002</w:t>
      </w:r>
      <w:r>
        <w:rPr>
          <w:rFonts w:ascii="Times New Roman" w:cs="Times New Roman" w:eastAsia="SimSun" w:hAnsi="Times New Roman"/>
        </w:rPr>
        <w:t xml:space="preserve">、每点 </w:t>
      </w:r>
      <w:r>
        <w:rPr>
          <w:rFonts w:ascii="Cambria Math" w:eastAsia="SimSun" w:hAnsi="Cambria Math"/>
          <w:i w:val="false"/>
          <w:iCs w:val="false"/>
        </w:rPr>
        <w:t xml:space="preserve">1500</w:t>
      </w:r>
      <w:r>
        <w:rPr>
          <w:rFonts w:ascii="Times New Roman" w:cs="Times New Roman" w:eastAsia="SimSun" w:hAnsi="Times New Roman"/>
        </w:rPr>
        <w:t xml:space="preserve"> 次实现，加权外推得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=0.3410±0.0058</w:t>
      </w:r>
      <w:r>
        <w:rPr>
          <w:rFonts w:ascii="Times New Roman" w:cs="Times New Roman" w:eastAsia="SimSun" w:hAnsi="Times New Roman"/>
        </w:rPr>
        <w:t xml:space="preserve">，与 (3.17) 给出的 </w:t>
      </w:r>
      <w:r>
        <w:rPr>
          <w:rFonts w:ascii="Cambria Math" w:eastAsia="SimSun" w:hAnsi="Cambria Math"/>
          <w:i w:val="false"/>
          <w:iCs w:val="false"/>
        </w:rPr>
        <w:t xml:space="preserve">0.3327</w:t>
      </w:r>
      <w:r>
        <w:rPr>
          <w:rFonts w:ascii="Times New Roman" w:cs="Times New Roman" w:eastAsia="SimSun" w:hAnsi="Times New Roman"/>
        </w:rPr>
        <w:t xml:space="preserve"> 相差 </w:t>
      </w:r>
      <w:r>
        <w:rPr>
          <w:rFonts w:ascii="Cambria Math" w:eastAsia="SimSun" w:hAnsi="Cambria Math"/>
          <w:i w:val="false"/>
          <w:iCs w:val="false"/>
        </w:rPr>
        <w:t xml:space="preserve">1.4σ</w:t>
      </w:r>
      <w:r>
        <w:rPr>
          <w:rFonts w:ascii="Times New Roman" w:cs="Times New Roman" w:eastAsia="SimSun" w:hAnsi="Times New Roman"/>
        </w:rPr>
        <w:t xml:space="preserve">。拟合斜率给出 </w:t>
      </w:r>
      <w:r>
        <w:rPr>
          <w:rFonts w:ascii="Cambria Math" w:eastAsia="SimSun" w:hAnsi="Cambria Math"/>
          <w:i w:val="false"/>
          <w:iCs w:val="false"/>
        </w:rPr>
        <w:t xml:space="preserve">τκ-1=2.85±0.05</w:t>
      </w:r>
      <w:r>
        <w:rPr>
          <w:rFonts w:ascii="Times New Roman" w:cs="Times New Roman" w:eastAsia="SimSun" w:hAnsi="Times New Roman"/>
        </w:rPr>
        <w:t xml:space="preserve">，较公式值 </w:t>
      </w:r>
      <w:r>
        <w:rPr>
          <w:rFonts w:ascii="Cambria Math" w:eastAsia="SimSun" w:hAnsi="Cambria Math"/>
          <w:i w:val="false"/>
          <w:iCs w:val="false"/>
        </w:rPr>
        <w:t xml:space="preserve">3.01</w:t>
      </w:r>
      <w:r>
        <w:rPr>
          <w:rFonts w:ascii="Times New Roman" w:cs="Times New Roman" w:eastAsia="SimSun" w:hAnsi="Times New Roman"/>
        </w:rPr>
        <w:t xml:space="preserve"> 低约 </w:t>
      </w:r>
      <w:r>
        <w:rPr>
          <w:rFonts w:ascii="Cambria Math" w:eastAsia="SimSun" w:hAnsi="Cambria Math"/>
          <w:i w:val="false"/>
          <w:iCs w:val="false"/>
        </w:rPr>
        <w:t xml:space="preserve">5%</w:t>
      </w:r>
      <w:r>
        <w:rPr>
          <w:rFonts w:ascii="Times New Roman" w:cs="Times New Roman" w:eastAsia="SimSun" w:hAnsi="Times New Roman"/>
        </w:rPr>
        <w:t xml:space="preserve">；这一偏低方向是预期的——纯分支形式忽略易感耗尽与不同种子所生簇的重叠，二者都压低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，从而抬高 </w:t>
      </w:r>
      <w:r>
        <w:rPr>
          <w:rFonts w:ascii="Cambria Math" w:eastAsia="SimSun" w:hAnsi="Cambria Math"/>
          <w:i w:val="false"/>
          <w:iCs w:val="false"/>
        </w:rPr>
        <w:t xml:space="preserve">ε/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另有四项针对数值实现而非理论的核查，结果一并记录：位形模型的修复步在全部五种配置下未丢弃任何超边，实现的双度序列与请求值逐点相同；RK4 在 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0.02</w:t>
      </w:r>
      <w:r>
        <w:rPr>
          <w:rFonts w:ascii="Times New Roman" w:cs="Times New Roman" w:eastAsia="SimSun" w:hAnsi="Times New Roman"/>
        </w:rPr>
        <w:t xml:space="preserve"> 减至 </w:t>
      </w:r>
      <w:r>
        <w:rPr>
          <w:rFonts w:ascii="Cambria Math" w:eastAsia="SimSun" w:hAnsi="Cambria Math"/>
          <w:i w:val="false"/>
          <w:iCs w:val="false"/>
        </w:rPr>
        <w:t xml:space="preserve">0.0025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(14)</w:t>
      </w:r>
      <w:r>
        <w:rPr>
          <w:rFonts w:ascii="Times New Roman" w:cs="Times New Roman" w:eastAsia="SimSun" w:hAnsi="Times New Roman"/>
        </w:rPr>
        <w:t xml:space="preserve"> 的变化小于 </w:t>
      </w:r>
      <w:r>
        <w:rPr>
          <w:rFonts w:ascii="Cambria Math" w:eastAsia="SimSun" w:hAnsi="Cambria Math"/>
          <w:i w:val="false"/>
          <w:iCs w:val="false"/>
        </w:rPr>
        <w:t xml:space="preserve">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，故积分步长不是误差来源；仿真按 Bernoulli</w:t>
      </w:r>
      <w:r>
        <w:rPr>
          <w:rFonts w:ascii="Cambria Math" w:eastAsia="SimSun" w:hAnsi="Cambria Math"/>
          <w:i w:val="false"/>
          <w:iCs w:val="false"/>
        </w:rPr>
        <w:t xml:space="preserve">(ε)</w:t>
      </w:r>
      <w:r>
        <w:rPr>
          <w:rFonts w:ascii="Times New Roman" w:cs="Times New Roman" w:eastAsia="SimSun" w:hAnsi="Times New Roman"/>
        </w:rPr>
        <w:t xml:space="preserve"> 播种与按固定种子数播种的终态相差 </w:t>
      </w:r>
      <w:r>
        <w:rPr>
          <w:rFonts w:ascii="Cambria Math" w:eastAsia="SimSun" w:hAnsi="Cambria Math"/>
          <w:i w:val="false"/>
          <w:iCs w:val="false"/>
        </w:rPr>
        <w:t xml:space="preserve">0.5σ</w:t>
      </w:r>
      <w:r>
        <w:rPr>
          <w:rFonts w:ascii="Times New Roman" w:cs="Times New Roman" w:eastAsia="SimSun" w:hAnsi="Times New Roman"/>
        </w:rPr>
        <w:t xml:space="preserve">，故 ODE 假设的"恰好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"不引入系统偏置；增量式 Gillespie 采样器与逐事件重算的朴素实现相差 </w:t>
      </w:r>
      <w:r>
        <w:rPr>
          <w:rFonts w:ascii="Cambria Math" w:eastAsia="SimSun" w:hAnsi="Cambria Math"/>
          <w:i w:val="false"/>
          <w:iCs w:val="false"/>
        </w:rPr>
        <w:t xml:space="preserve">1.1σ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Abuissa, M. Riondato, and E. Upfal, </w:t>
      </w:r>
      <w:r>
        <w:rPr>
          <w:rFonts w:ascii="Times New Roman" w:cs="Times New Roman" w:eastAsia="SimSun" w:hAnsi="Times New Roman"/>
          <w:i/>
          <w:iCs/>
        </w:rPr>
        <w:t xml:space="preserve">DiNgHy: null models for non-degenerate directed hypergraphs</w:t>
      </w:r>
      <w:r>
        <w:rPr>
          <w:rFonts w:ascii="Times New Roman" w:cs="Times New Roman" w:eastAsia="SimSun" w:hAnsi="Times New Roman"/>
        </w:rPr>
        <w:t xml:space="preserve">, Data Mining and Knowledge Discovery, 40 (2026), https://doi.org/10.1007/s10618-026-01209-8.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A. Allard, C. Moore, S. V. Scarpino, B. M. Althouse, and L. Hébert-Dufresne, </w:t>
      </w:r>
      <w:r>
        <w:rPr>
          <w:rFonts w:ascii="Times New Roman" w:cs="Times New Roman" w:eastAsia="SimSun" w:hAnsi="Times New Roman"/>
          <w:i/>
          <w:iCs/>
        </w:rPr>
        <w:t xml:space="preserve">The Role of Directionality, Heterogeneity, and Correlations in Epidemic Risk and Spread</w:t>
      </w:r>
      <w:r>
        <w:rPr>
          <w:rFonts w:ascii="Times New Roman" w:cs="Times New Roman" w:eastAsia="SimSun" w:hAnsi="Times New Roman"/>
        </w:rPr>
        <w:t xml:space="preserve">, SIAM Review, 65 (2023), pp. 471–492, https://doi.org/10.1137/20M1383811.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Battiston, G. Cencetti, I. Iacopini, V. Latora, M. Lucas, A. Patania, J. G. Young, and G. Petri, </w:t>
      </w:r>
      <w:r>
        <w:rPr>
          <w:rFonts w:ascii="Times New Roman" w:cs="Times New Roman" w:eastAsia="SimSun" w:hAnsi="Times New Roman"/>
          <w:i/>
          <w:iCs/>
        </w:rPr>
        <w:t xml:space="preserve">Networks beyond pairwise interactions: Structure and dynamics</w:t>
      </w:r>
      <w:r>
        <w:rPr>
          <w:rFonts w:ascii="Times New Roman" w:cs="Times New Roman" w:eastAsia="SimSun" w:hAnsi="Times New Roman"/>
        </w:rPr>
        <w:t xml:space="preserve">, Physics Reports, 874 (2020), pp. 1–92, https://doi.org/10.1016/j.physrep.2020.05.004.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Battiston, E. Amico, A. Barrat, G. Bianconi, G. Ferraz de Arruda, B. Franceschiello, I. Iacopini, S. Kéfi, and et al., </w:t>
      </w:r>
      <w:r>
        <w:rPr>
          <w:rFonts w:ascii="Times New Roman" w:cs="Times New Roman" w:eastAsia="SimSun" w:hAnsi="Times New Roman"/>
          <w:i/>
          <w:iCs/>
        </w:rPr>
        <w:t xml:space="preserve">The physics of higher-order interactions in complex systems</w:t>
      </w:r>
      <w:r>
        <w:rPr>
          <w:rFonts w:ascii="Times New Roman" w:cs="Times New Roman" w:eastAsia="SimSun" w:hAnsi="Times New Roman"/>
        </w:rPr>
        <w:t xml:space="preserve">, Nature Physics, 17 (2021), pp. 1093–1098, https://doi.org/10.1038/s41567-021-01371-4.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J. Baxter, S. N. Dorogovtsev, A. V. Goltsev, and J. F. F. Mendes, </w:t>
      </w:r>
      <w:r>
        <w:rPr>
          <w:rFonts w:ascii="Times New Roman" w:cs="Times New Roman" w:eastAsia="SimSun" w:hAnsi="Times New Roman"/>
          <w:i/>
          <w:iCs/>
        </w:rPr>
        <w:t xml:space="preserve">Bootstrap percolation on complex networks</w:t>
      </w:r>
      <w:r>
        <w:rPr>
          <w:rFonts w:ascii="Times New Roman" w:cs="Times New Roman" w:eastAsia="SimSun" w:hAnsi="Times New Roman"/>
        </w:rPr>
        <w:t xml:space="preserve">, Physical Review E, 82 (2010), p. 011103, https://doi.org/10.1103/PhysRevE.82.011103.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A. R. Benson, R. Abebe, M. T. Schaub, A. Jadbabaie, and J. Kleinberg, </w:t>
      </w:r>
      <w:r>
        <w:rPr>
          <w:rFonts w:ascii="Times New Roman" w:cs="Times New Roman" w:eastAsia="SimSun" w:hAnsi="Times New Roman"/>
          <w:i/>
          <w:iCs/>
        </w:rPr>
        <w:t xml:space="preserve">Simplicial closure and higher-order link prediction</w:t>
      </w:r>
      <w:r>
        <w:rPr>
          <w:rFonts w:ascii="Times New Roman" w:cs="Times New Roman" w:eastAsia="SimSun" w:hAnsi="Times New Roman"/>
        </w:rPr>
        <w:t xml:space="preserve">, Proceedings of the National Academy of Sciences, 115 (2018), pp. E11221–E11230, https://doi.org/10.1073/pnas.1800683115.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Bianconi and S. N. Dorogovtsev, </w:t>
      </w:r>
      <w:r>
        <w:rPr>
          <w:rFonts w:ascii="Times New Roman" w:cs="Times New Roman" w:eastAsia="SimSun" w:hAnsi="Times New Roman"/>
          <w:i/>
          <w:iCs/>
        </w:rPr>
        <w:t xml:space="preserve">Theory of percolation on hypergraphs</w:t>
      </w:r>
      <w:r>
        <w:rPr>
          <w:rFonts w:ascii="Times New Roman" w:cs="Times New Roman" w:eastAsia="SimSun" w:hAnsi="Times New Roman"/>
        </w:rPr>
        <w:t xml:space="preserve">, Physical Review E, 109 (2024), p. 014306, https://doi.org/10.1103/PhysRevE.109.014306.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Boguñá and M. Á. Serrano, </w:t>
      </w:r>
      <w:r>
        <w:rPr>
          <w:rFonts w:ascii="Times New Roman" w:cs="Times New Roman" w:eastAsia="SimSun" w:hAnsi="Times New Roman"/>
          <w:i/>
          <w:iCs/>
        </w:rPr>
        <w:t xml:space="preserve">Generalized percolation in random directed networks</w:t>
      </w:r>
      <w:r>
        <w:rPr>
          <w:rFonts w:ascii="Times New Roman" w:cs="Times New Roman" w:eastAsia="SimSun" w:hAnsi="Times New Roman"/>
        </w:rPr>
        <w:t xml:space="preserve">, Physical Review E, 72 (2005), p. 016106, https://doi.org/10.1103/PhysRevE.72.016106.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Centola and M. Macy, </w:t>
      </w:r>
      <w:r>
        <w:rPr>
          <w:rFonts w:ascii="Times New Roman" w:cs="Times New Roman" w:eastAsia="SimSun" w:hAnsi="Times New Roman"/>
          <w:i/>
          <w:iCs/>
        </w:rPr>
        <w:t xml:space="preserve">Complex contagions and the weakness of long ties</w:t>
      </w:r>
      <w:r>
        <w:rPr>
          <w:rFonts w:ascii="Times New Roman" w:cs="Times New Roman" w:eastAsia="SimSun" w:hAnsi="Times New Roman"/>
        </w:rPr>
        <w:t xml:space="preserve">, American Journal of Sociology, 113 (2007), pp. 702–734, https://doi.org/10.1086/521848.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S. Chodrow, </w:t>
      </w:r>
      <w:r>
        <w:rPr>
          <w:rFonts w:ascii="Times New Roman" w:cs="Times New Roman" w:eastAsia="SimSun" w:hAnsi="Times New Roman"/>
          <w:i/>
          <w:iCs/>
        </w:rPr>
        <w:t xml:space="preserve">Configuration models of random hypergraphs</w:t>
      </w:r>
      <w:r>
        <w:rPr>
          <w:rFonts w:ascii="Times New Roman" w:cs="Times New Roman" w:eastAsia="SimSun" w:hAnsi="Times New Roman"/>
        </w:rPr>
        <w:t xml:space="preserve">, Journal of Complex Networks, 8 (2020), p. cnaa018, https://doi.org/10.1093/comnet/cnaa018.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N. Dorogovtsev, J. F. F. Mendes, and A. N. Samukhin, </w:t>
      </w:r>
      <w:r>
        <w:rPr>
          <w:rFonts w:ascii="Times New Roman" w:cs="Times New Roman" w:eastAsia="SimSun" w:hAnsi="Times New Roman"/>
          <w:i/>
          <w:iCs/>
        </w:rPr>
        <w:t xml:space="preserve">Giant strongly connected component of directed networks</w:t>
      </w:r>
      <w:r>
        <w:rPr>
          <w:rFonts w:ascii="Times New Roman" w:cs="Times New Roman" w:eastAsia="SimSun" w:hAnsi="Times New Roman"/>
        </w:rPr>
        <w:t xml:space="preserve">, Physical Review E, 64 (2001), p. 025101, https://doi.org/10.1103/PhysRevE.64.025101.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N. Dorogovtsev, A. V. Goltsev, and J. F. F. Mendes, </w:t>
      </w:r>
      <w:r>
        <w:rPr>
          <w:rFonts w:ascii="Times New Roman" w:cs="Times New Roman" w:eastAsia="SimSun" w:hAnsi="Times New Roman"/>
          <w:i/>
          <w:iCs/>
        </w:rPr>
        <w:t xml:space="preserve">k-core organization of complex networks</w:t>
      </w:r>
      <w:r>
        <w:rPr>
          <w:rFonts w:ascii="Times New Roman" w:cs="Times New Roman" w:eastAsia="SimSun" w:hAnsi="Times New Roman"/>
        </w:rPr>
        <w:t xml:space="preserve">, Physical Review Letters, 96 (2006), p. 040601, https://doi.org/10.1103/PhysRevLett.96.040601.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Ferraz de Arruda, G. Petri, and Y. Moreno, </w:t>
      </w:r>
      <w:r>
        <w:rPr>
          <w:rFonts w:ascii="Times New Roman" w:cs="Times New Roman" w:eastAsia="SimSun" w:hAnsi="Times New Roman"/>
          <w:i/>
          <w:iCs/>
        </w:rPr>
        <w:t xml:space="preserve">Social contagion models on hypergraphs</w:t>
      </w:r>
      <w:r>
        <w:rPr>
          <w:rFonts w:ascii="Times New Roman" w:cs="Times New Roman" w:eastAsia="SimSun" w:hAnsi="Times New Roman"/>
        </w:rPr>
        <w:t xml:space="preserve">, Physical Review Research, 2 (2020), p. 023032, https://doi.org/10.1103/PhysRevResearch.2.023032.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Ferraz de Arruda, A. Aleta, and Y. Moreno, </w:t>
      </w:r>
      <w:r>
        <w:rPr>
          <w:rFonts w:ascii="Times New Roman" w:cs="Times New Roman" w:eastAsia="SimSun" w:hAnsi="Times New Roman"/>
          <w:i/>
          <w:iCs/>
        </w:rPr>
        <w:t xml:space="preserve">Contagion dynamics on higher-order networks</w:t>
      </w:r>
      <w:r>
        <w:rPr>
          <w:rFonts w:ascii="Times New Roman" w:cs="Times New Roman" w:eastAsia="SimSun" w:hAnsi="Times New Roman"/>
        </w:rPr>
        <w:t xml:space="preserve">, Nature Reviews Physics, 6 (2024), pp. 468–482, https://doi.org/10.1038/s42254-024-00733-0.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Gallo, G. Longo, S. Pallottino, and S. Nguyen, </w:t>
      </w:r>
      <w:r>
        <w:rPr>
          <w:rFonts w:ascii="Times New Roman" w:cs="Times New Roman" w:eastAsia="SimSun" w:hAnsi="Times New Roman"/>
          <w:i/>
          <w:iCs/>
        </w:rPr>
        <w:t xml:space="preserve">Directed hypergraphs and applications</w:t>
      </w:r>
      <w:r>
        <w:rPr>
          <w:rFonts w:ascii="Times New Roman" w:cs="Times New Roman" w:eastAsia="SimSun" w:hAnsi="Times New Roman"/>
        </w:rPr>
        <w:t xml:space="preserve">, Discrete Applied Mathematics, 42 (1993), pp. 177–201, https://doi.org/10.1016/0166-218X(93)90045-P.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T. Gillespie, </w:t>
      </w:r>
      <w:r>
        <w:rPr>
          <w:rFonts w:ascii="Times New Roman" w:cs="Times New Roman" w:eastAsia="SimSun" w:hAnsi="Times New Roman"/>
          <w:i/>
          <w:iCs/>
        </w:rPr>
        <w:t xml:space="preserve">Exact stochastic simulation of coupled chemical reactions</w:t>
      </w:r>
      <w:r>
        <w:rPr>
          <w:rFonts w:ascii="Times New Roman" w:cs="Times New Roman" w:eastAsia="SimSun" w:hAnsi="Times New Roman"/>
        </w:rPr>
        <w:t xml:space="preserve">, The Journal of Physical Chemistry, 81 (1977), pp. 2340–2361, https://doi.org/10.1021/j100540a008.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Grassberger, </w:t>
      </w:r>
      <w:r>
        <w:rPr>
          <w:rFonts w:ascii="Times New Roman" w:cs="Times New Roman" w:eastAsia="SimSun" w:hAnsi="Times New Roman"/>
          <w:i/>
          <w:iCs/>
        </w:rPr>
        <w:t xml:space="preserve">On the critical behavior of the general epidemic process and dynamical percolation</w:t>
      </w:r>
      <w:r>
        <w:rPr>
          <w:rFonts w:ascii="Times New Roman" w:cs="Times New Roman" w:eastAsia="SimSun" w:hAnsi="Times New Roman"/>
        </w:rPr>
        <w:t xml:space="preserve">, Mathematical Biosciences, 63 (1983), pp. 157–172, https://doi.org/10.1016/0025-5564(82)90036-0.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I. Iacopini, G. Petri, A. Barrat, and V. Latora, </w:t>
      </w:r>
      <w:r>
        <w:rPr>
          <w:rFonts w:ascii="Times New Roman" w:cs="Times New Roman" w:eastAsia="SimSun" w:hAnsi="Times New Roman"/>
          <w:i/>
          <w:iCs/>
        </w:rPr>
        <w:t xml:space="preserve">Simplicial models of social contagion</w:t>
      </w:r>
      <w:r>
        <w:rPr>
          <w:rFonts w:ascii="Times New Roman" w:cs="Times New Roman" w:eastAsia="SimSun" w:hAnsi="Times New Roman"/>
        </w:rPr>
        <w:t xml:space="preserve">, Nature Communications, 10 (2019), p. 2485, https://doi.org/10.1038/s41467-019-10431-6.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Kenah and J. M. Robins, </w:t>
      </w:r>
      <w:r>
        <w:rPr>
          <w:rFonts w:ascii="Times New Roman" w:cs="Times New Roman" w:eastAsia="SimSun" w:hAnsi="Times New Roman"/>
          <w:i/>
          <w:iCs/>
        </w:rPr>
        <w:t xml:space="preserve">Second look at the spread of epidemics on networks</w:t>
      </w:r>
      <w:r>
        <w:rPr>
          <w:rFonts w:ascii="Times New Roman" w:cs="Times New Roman" w:eastAsia="SimSun" w:hAnsi="Times New Roman"/>
        </w:rPr>
        <w:t xml:space="preserve">, Physical Review E, 76 (2007), p. 036113, https://doi.org/10.1103/PhysRevE.76.036113.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Kim, M. Choe, J. Yoo, and K. Shin, </w:t>
      </w:r>
      <w:r>
        <w:rPr>
          <w:rFonts w:ascii="Times New Roman" w:cs="Times New Roman" w:eastAsia="SimSun" w:hAnsi="Times New Roman"/>
          <w:i/>
          <w:iCs/>
        </w:rPr>
        <w:t xml:space="preserve">Reciprocity in directed hypergraphs: measures, findings, and generators</w:t>
      </w:r>
      <w:r>
        <w:rPr>
          <w:rFonts w:ascii="Times New Roman" w:cs="Times New Roman" w:eastAsia="SimSun" w:hAnsi="Times New Roman"/>
        </w:rPr>
        <w:t xml:space="preserve">, Data Mining and Knowledge Discovery (2023), https://doi.org/10.1007/s10618-023-00955-3.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H. Kim and K. I. Goh, </w:t>
      </w:r>
      <w:r>
        <w:rPr>
          <w:rFonts w:ascii="Times New Roman" w:cs="Times New Roman" w:eastAsia="SimSun" w:hAnsi="Times New Roman"/>
          <w:i/>
          <w:iCs/>
        </w:rPr>
        <w:t xml:space="preserve">Higher-Order Components Dictate Higher-Order Contagion Dynamics in Hypergraphs</w:t>
      </w:r>
      <w:r>
        <w:rPr>
          <w:rFonts w:ascii="Times New Roman" w:cs="Times New Roman" w:eastAsia="SimSun" w:hAnsi="Times New Roman"/>
        </w:rPr>
        <w:t xml:space="preserve">, Physical Review Letters, 132 (2024), p. 087401, https://doi.org/10.1103/PhysRevLett.132.087401.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Klamt, U. U. Haus, and F. Theis, </w:t>
      </w:r>
      <w:r>
        <w:rPr>
          <w:rFonts w:ascii="Times New Roman" w:cs="Times New Roman" w:eastAsia="SimSun" w:hAnsi="Times New Roman"/>
          <w:i/>
          <w:iCs/>
        </w:rPr>
        <w:t xml:space="preserve">Hypergraphs and cellular networks</w:t>
      </w:r>
      <w:r>
        <w:rPr>
          <w:rFonts w:ascii="Times New Roman" w:cs="Times New Roman" w:eastAsia="SimSun" w:hAnsi="Times New Roman"/>
        </w:rPr>
        <w:t xml:space="preserve">, PLoS Computational Biology, 5 (2009), p. e1000385, https://doi.org/10.1371/journal.pcbi.1000385.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Y. J. Kraakman and C. Stegehuis, </w:t>
      </w:r>
      <w:r>
        <w:rPr>
          <w:rFonts w:ascii="Times New Roman" w:cs="Times New Roman" w:eastAsia="SimSun" w:hAnsi="Times New Roman"/>
          <w:i/>
          <w:iCs/>
        </w:rPr>
        <w:t xml:space="preserve">Uniformly sampling random directed hypergraphs with fixed degrees</w:t>
      </w:r>
      <w:r>
        <w:rPr>
          <w:rFonts w:ascii="Times New Roman" w:cs="Times New Roman" w:eastAsia="SimSun" w:hAnsi="Times New Roman"/>
        </w:rPr>
        <w:t xml:space="preserve">, Discrete Mathematics, 349 (2026), p. 114961, https://doi.org/10.1016/j.disc.2025.114961.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Lamata-Otín, F. Malizia, V. Latora, M. Frasca, and J. Gómez-Gardeñes, </w:t>
      </w:r>
      <w:r>
        <w:rPr>
          <w:rFonts w:ascii="Times New Roman" w:cs="Times New Roman" w:eastAsia="SimSun" w:hAnsi="Times New Roman"/>
          <w:i/>
          <w:iCs/>
        </w:rPr>
        <w:t xml:space="preserve">Hyperedge overlap drives synchronizability of systems with higher-order interactions</w:t>
      </w:r>
      <w:r>
        <w:rPr>
          <w:rFonts w:ascii="Times New Roman" w:cs="Times New Roman" w:eastAsia="SimSun" w:hAnsi="Times New Roman"/>
        </w:rPr>
        <w:t xml:space="preserve">, Physical Review E, 111 (2025), p. 034302, https://doi.org/10.1103/PhysRevE.111.034302.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N. W. Landry and J. G. Restrepo, </w:t>
      </w:r>
      <w:r>
        <w:rPr>
          <w:rFonts w:ascii="Times New Roman" w:cs="Times New Roman" w:eastAsia="SimSun" w:hAnsi="Times New Roman"/>
          <w:i/>
          <w:iCs/>
        </w:rPr>
        <w:t xml:space="preserve">The effect of heterogeneity on hypergraph contagion models</w:t>
      </w:r>
      <w:r>
        <w:rPr>
          <w:rFonts w:ascii="Times New Roman" w:cs="Times New Roman" w:eastAsia="SimSun" w:hAnsi="Times New Roman"/>
        </w:rPr>
        <w:t xml:space="preserve">, Chaos, 30 (2020), p. 103117, https://doi.org/10.1063/5.0020034.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Lee, M. Choe, and K. Shin, </w:t>
      </w:r>
      <w:r>
        <w:rPr>
          <w:rFonts w:ascii="Times New Roman" w:cs="Times New Roman" w:eastAsia="SimSun" w:hAnsi="Times New Roman"/>
          <w:i/>
          <w:iCs/>
        </w:rPr>
        <w:t xml:space="preserve">How Do Hyperedges Overlap in Real-World Hypergraphs? - Patterns, Measures, and Generators</w:t>
      </w:r>
      <w:r>
        <w:rPr>
          <w:rFonts w:ascii="Times New Roman" w:cs="Times New Roman" w:eastAsia="SimSun" w:hAnsi="Times New Roman"/>
        </w:rPr>
        <w:t xml:space="preserve">, Proceedings of the Web Conference 2021 (2021), https://doi.org/10.1145/3442381.3450010.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Li, X. Wu, J. Lü, and L. Lei, </w:t>
      </w:r>
      <w:r>
        <w:rPr>
          <w:rFonts w:ascii="Times New Roman" w:cs="Times New Roman" w:eastAsia="SimSun" w:hAnsi="Times New Roman"/>
          <w:i/>
          <w:iCs/>
        </w:rPr>
        <w:t xml:space="preserve">Enhancing predictive accuracy in social contagion dynamics via directed hypergraph structures</w:t>
      </w:r>
      <w:r>
        <w:rPr>
          <w:rFonts w:ascii="Times New Roman" w:cs="Times New Roman" w:eastAsia="SimSun" w:hAnsi="Times New Roman"/>
        </w:rPr>
        <w:t xml:space="preserve">, Communications Physics, 7 (2024), https://doi.org/10.1038/s42005-024-01614-9.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Q. F. Lotito, A. Vendramini, A. Montresor, and F. Battiston, </w:t>
      </w:r>
      <w:r>
        <w:rPr>
          <w:rFonts w:ascii="Times New Roman" w:cs="Times New Roman" w:eastAsia="SimSun" w:hAnsi="Times New Roman"/>
          <w:i/>
          <w:iCs/>
        </w:rPr>
        <w:t xml:space="preserve">The microscale organization of directed hypergraphs</w:t>
      </w:r>
      <w:r>
        <w:rPr>
          <w:rFonts w:ascii="Times New Roman" w:cs="Times New Roman" w:eastAsia="SimSun" w:hAnsi="Times New Roman"/>
        </w:rPr>
        <w:t xml:space="preserve">, Communications Physics, 9 (2026), https://doi.org/10.1038/s42005-025-02472-9.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A. Guzmán, I. Iacopini, and I. Z. Kiss, </w:t>
      </w:r>
      <w:r>
        <w:rPr>
          <w:rFonts w:ascii="Times New Roman" w:cs="Times New Roman" w:eastAsia="SimSun" w:hAnsi="Times New Roman"/>
          <w:i/>
          <w:iCs/>
        </w:rPr>
        <w:t xml:space="preserve">Disentangling the Role of Heterogeneity and Hyperedge Overlap in Explosive Contagion on Higher-Order Networks</w:t>
      </w:r>
      <w:r>
        <w:rPr>
          <w:rFonts w:ascii="Times New Roman" w:cs="Times New Roman" w:eastAsia="SimSun" w:hAnsi="Times New Roman"/>
        </w:rPr>
        <w:t xml:space="preserve">, Physical Review Letters (2025), https://doi.org/10.1103/z3d5-94zb.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S. Lamata-Otín, M. Frasca, V. Latora, and J. Gómez-Gardeñes, </w:t>
      </w:r>
      <w:r>
        <w:rPr>
          <w:rFonts w:ascii="Times New Roman" w:cs="Times New Roman" w:eastAsia="SimSun" w:hAnsi="Times New Roman"/>
          <w:i/>
          <w:iCs/>
        </w:rPr>
        <w:t xml:space="preserve">Hyperedge overlap drives explosive transitions in systems with higher-order interactions</w:t>
      </w:r>
      <w:r>
        <w:rPr>
          <w:rFonts w:ascii="Times New Roman" w:cs="Times New Roman" w:eastAsia="SimSun" w:hAnsi="Times New Roman"/>
        </w:rPr>
        <w:t xml:space="preserve">, Nature Communications, 16 (2025), https://doi.org/10.1038/s41467-024-55506-1.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Mancastroppa, I. Iacopini, G. Petri, and A. Barrat, </w:t>
      </w:r>
      <w:r>
        <w:rPr>
          <w:rFonts w:ascii="Times New Roman" w:cs="Times New Roman" w:eastAsia="SimSun" w:hAnsi="Times New Roman"/>
          <w:i/>
          <w:iCs/>
        </w:rPr>
        <w:t xml:space="preserve">Hyper-cores promote localization and efficient seeding in higher-order processes</w:t>
      </w:r>
      <w:r>
        <w:rPr>
          <w:rFonts w:ascii="Times New Roman" w:cs="Times New Roman" w:eastAsia="SimSun" w:hAnsi="Times New Roman"/>
        </w:rPr>
        <w:t xml:space="preserve">, Nature Communications, 14 (2023), p. 6223, https://doi.org/10.1038/s41467-023-41887-2.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L. A. Meyers, M. E. J. Newman, and B. Pourbohloul, </w:t>
      </w:r>
      <w:r>
        <w:rPr>
          <w:rFonts w:ascii="Times New Roman" w:cs="Times New Roman" w:eastAsia="SimSun" w:hAnsi="Times New Roman"/>
          <w:i/>
          <w:iCs/>
        </w:rPr>
        <w:t xml:space="preserve">Predicting epidemics on directed contact networks</w:t>
      </w:r>
      <w:r>
        <w:rPr>
          <w:rFonts w:ascii="Times New Roman" w:cs="Times New Roman" w:eastAsia="SimSun" w:hAnsi="Times New Roman"/>
        </w:rPr>
        <w:t xml:space="preserve">, Journal of Theoretical Biology, 240 (2006), pp. 400–418, https://doi.org/10.1016/j.jtbi.2005.10.004.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C. Miller, A. C. Slim, and E. M. Volz, </w:t>
      </w:r>
      <w:r>
        <w:rPr>
          <w:rFonts w:ascii="Times New Roman" w:cs="Times New Roman" w:eastAsia="SimSun" w:hAnsi="Times New Roman"/>
          <w:i/>
          <w:iCs/>
        </w:rPr>
        <w:t xml:space="preserve">Edge-based compartmental modelling for infectious disease spread</w:t>
      </w:r>
      <w:r>
        <w:rPr>
          <w:rFonts w:ascii="Times New Roman" w:cs="Times New Roman" w:eastAsia="SimSun" w:hAnsi="Times New Roman"/>
        </w:rPr>
        <w:t xml:space="preserve">, Journal of the Royal Society Interface, 9 (2012), pp. 890–906, https://doi.org/10.1098/rsif.2011.0403.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K. Nakajima, K. Shudo, and N. Masuda, </w:t>
      </w:r>
      <w:r>
        <w:rPr>
          <w:rFonts w:ascii="Times New Roman" w:cs="Times New Roman" w:eastAsia="SimSun" w:hAnsi="Times New Roman"/>
          <w:i/>
          <w:iCs/>
        </w:rPr>
        <w:t xml:space="preserve">Randomizing Hypergraphs Preserving Degree Correlation and Local Clustering</w:t>
      </w:r>
      <w:r>
        <w:rPr>
          <w:rFonts w:ascii="Times New Roman" w:cs="Times New Roman" w:eastAsia="SimSun" w:hAnsi="Times New Roman"/>
        </w:rPr>
        <w:t xml:space="preserve">, IEEE Transactions on Network Science and Engineering, 9 (2022), pp. 1139–1153, https://doi.org/10.1109/TNSE.2021.3133380.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S. H. Strogatz, and D. J. Watts, </w:t>
      </w:r>
      <w:r>
        <w:rPr>
          <w:rFonts w:ascii="Times New Roman" w:cs="Times New Roman" w:eastAsia="SimSun" w:hAnsi="Times New Roman"/>
          <w:i/>
          <w:iCs/>
        </w:rPr>
        <w:t xml:space="preserve">Random graphs with arbitrary degree distributions and their applications</w:t>
      </w:r>
      <w:r>
        <w:rPr>
          <w:rFonts w:ascii="Times New Roman" w:cs="Times New Roman" w:eastAsia="SimSun" w:hAnsi="Times New Roman"/>
        </w:rPr>
        <w:t xml:space="preserve">, Physical Review E, 64 (2001), p. 026118, https://doi.org/10.1103/PhysRevE.64.026118.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Assortative mixing in networks</w:t>
      </w:r>
      <w:r>
        <w:rPr>
          <w:rFonts w:ascii="Times New Roman" w:cs="Times New Roman" w:eastAsia="SimSun" w:hAnsi="Times New Roman"/>
        </w:rPr>
        <w:t xml:space="preserve">, Physical Review Letters, 89 (2002), p. 208701, https://doi.org/10.1103/PhysRevLett.89.208701.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Spread of epidemic disease on networks</w:t>
      </w:r>
      <w:r>
        <w:rPr>
          <w:rFonts w:ascii="Times New Roman" w:cs="Times New Roman" w:eastAsia="SimSun" w:hAnsi="Times New Roman"/>
        </w:rPr>
        <w:t xml:space="preserve">, Physical Review E, 66 (2002), p. 016128, https://doi.org/10.1103/PhysRevE.66.016128.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Pastor-Satorras and A. Vespignani, </w:t>
      </w:r>
      <w:r>
        <w:rPr>
          <w:rFonts w:ascii="Times New Roman" w:cs="Times New Roman" w:eastAsia="SimSun" w:hAnsi="Times New Roman"/>
          <w:i/>
          <w:iCs/>
        </w:rPr>
        <w:t xml:space="preserve">Epidemic spreading in scale-free networks</w:t>
      </w:r>
      <w:r>
        <w:rPr>
          <w:rFonts w:ascii="Times New Roman" w:cs="Times New Roman" w:eastAsia="SimSun" w:hAnsi="Times New Roman"/>
        </w:rPr>
        <w:t xml:space="preserve">, Physical Review Letters, 86 (2001), pp. 3200–3203, https://doi.org/10.1103/PhysRevLett.86.3200.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Pastor-Satorras, C. Castellano, P. Van Mieghem, and A. Vespignani, </w:t>
      </w:r>
      <w:r>
        <w:rPr>
          <w:rFonts w:ascii="Times New Roman" w:cs="Times New Roman" w:eastAsia="SimSun" w:hAnsi="Times New Roman"/>
          <w:i/>
          <w:iCs/>
        </w:rPr>
        <w:t xml:space="preserve">Epidemic processes in complex networks</w:t>
      </w:r>
      <w:r>
        <w:rPr>
          <w:rFonts w:ascii="Times New Roman" w:cs="Times New Roman" w:eastAsia="SimSun" w:hAnsi="Times New Roman"/>
        </w:rPr>
        <w:t xml:space="preserve">, Reviews of Modern Physics, 87 (2015), pp. 925–979, https://doi.org/10.1103/RevModPhys.87.925.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H. Sun, A. Allard, L. Hébert-Dufresne, and G. Bianconi, </w:t>
      </w:r>
      <w:r>
        <w:rPr>
          <w:rFonts w:ascii="Times New Roman" w:cs="Times New Roman" w:eastAsia="SimSun" w:hAnsi="Times New Roman"/>
          <w:i/>
          <w:iCs/>
        </w:rPr>
        <w:t xml:space="preserve">Universal nonlinear infection kernel from heterogeneous exposure on higher-order networks</w:t>
      </w:r>
      <w:r>
        <w:rPr>
          <w:rFonts w:ascii="Times New Roman" w:cs="Times New Roman" w:eastAsia="SimSun" w:hAnsi="Times New Roman"/>
        </w:rPr>
        <w:t xml:space="preserve">, Physical Review Letters, 127 (2021), p. 158301, https://doi.org/10.1103/PhysRevLett.127.158301.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I. Iacopini, V. Latora, A. Barrat, G. Petri, A. Allard, and L. Hébert-Dufresne, </w:t>
      </w:r>
      <w:r>
        <w:rPr>
          <w:rFonts w:ascii="Times New Roman" w:cs="Times New Roman" w:eastAsia="SimSun" w:hAnsi="Times New Roman"/>
          <w:i/>
          <w:iCs/>
        </w:rPr>
        <w:t xml:space="preserve">Influential groups for seeding and sustaining nonlinear contagion in heterogeneous hypergraphs</w:t>
      </w:r>
      <w:r>
        <w:rPr>
          <w:rFonts w:ascii="Times New Roman" w:cs="Times New Roman" w:eastAsia="SimSun" w:hAnsi="Times New Roman"/>
        </w:rPr>
        <w:t xml:space="preserve">, Communications Physics, 5 (2022), p. 25, https://doi.org/10.1038/s42005-021-00788-w.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H. Sun and G. Bianconi, </w:t>
      </w:r>
      <w:r>
        <w:rPr>
          <w:rFonts w:ascii="Times New Roman" w:cs="Times New Roman" w:eastAsia="SimSun" w:hAnsi="Times New Roman"/>
          <w:i/>
          <w:iCs/>
        </w:rPr>
        <w:t xml:space="preserve">Higher-order percolation processes on multiplex hypergraphs</w:t>
      </w:r>
      <w:r>
        <w:rPr>
          <w:rFonts w:ascii="Times New Roman" w:cs="Times New Roman" w:eastAsia="SimSun" w:hAnsi="Times New Roman"/>
        </w:rPr>
        <w:t xml:space="preserve">, Physical Review E, 104 (2021), p. 034306, https://doi.org/10.1103/PhysRevE.104.034306.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Van Mieghem and R. van de Bovenkamp, </w:t>
      </w:r>
      <w:r>
        <w:rPr>
          <w:rFonts w:ascii="Times New Roman" w:cs="Times New Roman" w:eastAsia="SimSun" w:hAnsi="Times New Roman"/>
          <w:i/>
          <w:iCs/>
        </w:rPr>
        <w:t xml:space="preserve">Non-Markovian infection spread dramatically alters the susceptible-infected-susceptible epidemic threshold in networks</w:t>
      </w:r>
      <w:r>
        <w:rPr>
          <w:rFonts w:ascii="Times New Roman" w:cs="Times New Roman" w:eastAsia="SimSun" w:hAnsi="Times New Roman"/>
        </w:rPr>
        <w:t xml:space="preserve">, Physical Review Letters, 110 (2013), p. 108701, https://doi.org/10.1103/PhysRevLett.110.108701.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Volz, </w:t>
      </w:r>
      <w:r>
        <w:rPr>
          <w:rFonts w:ascii="Times New Roman" w:cs="Times New Roman" w:eastAsia="SimSun" w:hAnsi="Times New Roman"/>
          <w:i/>
          <w:iCs/>
        </w:rPr>
        <w:t xml:space="preserve">SIR dynamics in random networks with heterogeneous connectivity</w:t>
      </w:r>
      <w:r>
        <w:rPr>
          <w:rFonts w:ascii="Times New Roman" w:cs="Times New Roman" w:eastAsia="SimSun" w:hAnsi="Times New Roman"/>
        </w:rPr>
        <w:t xml:space="preserve">, Journal of Mathematical Biology, 56 (2008), pp. 293–310, https://doi.org/10.1007/s00285-007-0116-4.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J. Watts, </w:t>
      </w:r>
      <w:r>
        <w:rPr>
          <w:rFonts w:ascii="Times New Roman" w:cs="Times New Roman" w:eastAsia="SimSun" w:hAnsi="Times New Roman"/>
          <w:i/>
          <w:iCs/>
        </w:rPr>
        <w:t xml:space="preserve">A simple model of global cascades on random networks</w:t>
      </w:r>
      <w:r>
        <w:rPr>
          <w:rFonts w:ascii="Times New Roman" w:cs="Times New Roman" w:eastAsia="SimSun" w:hAnsi="Times New Roman"/>
        </w:rPr>
        <w:t xml:space="preserve">, Proceedings of the National Academy of Sciences, 99 (2002), pp. 5766–5771, https://doi.org/10.1073/pnas.082090499.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X. J. Xu, J. Y. Li, X. Fu, and L. J. Zhang, </w:t>
      </w:r>
      <w:r>
        <w:rPr>
          <w:rFonts w:ascii="Times New Roman" w:cs="Times New Roman" w:eastAsia="SimSun" w:hAnsi="Times New Roman"/>
          <w:i/>
          <w:iCs/>
        </w:rPr>
        <w:t xml:space="preserve">Impact of directionality and correlation on contagion</w:t>
      </w:r>
      <w:r>
        <w:rPr>
          <w:rFonts w:ascii="Times New Roman" w:cs="Times New Roman" w:eastAsia="SimSun" w:hAnsi="Times New Roman"/>
        </w:rPr>
        <w:t xml:space="preserve">, Scientific Reports, 8 (2018), https://doi.org/10.1038/s41598-018-22508-1.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dcf9715d69b4754638a9fc46d13a73311254617.png"/><Relationship Id="rId8" Type="http://schemas.openxmlformats.org/officeDocument/2006/relationships/image" Target="media/04f94522956267803d7384ff2c98fab86539593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2026-08-10T13:06:23.170Z</dcterms:created>
  <dcterms:modified xsi:type="dcterms:W3CDTF">2026-08-10T13:06:23.173Z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