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中破坏命题 2.2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链，其半群为次随机的，而 (3.2)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[6]——依次为伙伴处于易感、已感染但尚未传递、已康复且未曾传递的概率——唯一的实质替换是把余度生成函数换成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[1, 2, 5]。[5]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的系数。需要提醒的是这一方向并非普适于一切传播机制：有向网络的阈值型级联中，正的入出度相关反而提高系统稳健性 [8]。二者并不冲突——阈值模型按活跃邻居的比例判定激活，高入度抬高激活门槛；SIR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需要说明，(3.21) 是我们为本模型构造的均场对照，而非 [4]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[3]，取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98391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8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9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9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逐点吻合。需要说明，图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节。同时须记住 2.4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cf9715d69b4754638a9fc46d13a73311254617.png"/><Relationship Id="rId8" Type="http://schemas.openxmlformats.org/officeDocument/2006/relationships/image" Target="media/04f94522956267803d7384ff2c98fab8653959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2026-08-10T13:06:23.759Z</dcterms:created>
  <dcterms:modified xsi:type="dcterms:W3CDTF">2026-08-10T13:06:23.759Z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