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执行计划（目标期刊已定后重排）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取代大纲 R.2 / R.3 · 目标期刊：PRE / Communications Physics · 短工期路线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重排原因：v2 的三项发现改变了工序与部分任务的实现方式，原 8 周骨架已不适用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0. 为什么要重排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大纲的 R.2/R.3 是在三件事都还没发生时排的。现在它们发生了：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v2 发现</w:t>
            </w:r>
          </w:p>
        </w:tc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对计划的影响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 定义已完成（</w:t>
            </w:r>
            <w:r>
              <w:rPr>
                <w:rFonts w:ascii="Consolas" w:eastAsia="SimSun" w:hAnsi="Consolas"/>
              </w:rPr>
              <w:t xml:space="preserve">alpha-definition.md</w:t>
            </w:r>
            <w:r>
              <w:rPr>
                <w:rFonts w:ascii="Times New Roman" w:cs="Times New Roman" w:eastAsia="SimSun" w:hAnsi="Times New Roman"/>
              </w:rPr>
              <w:t xml:space="preserve">）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解锁</w:t>
            </w:r>
            <w:r>
              <w:rPr>
                <w:rFonts w:ascii="Times New Roman" w:cs="Times New Roman" w:eastAsia="SimSun" w:hAnsi="Times New Roman"/>
              </w:rPr>
              <w:t xml:space="preserve">工具 2（V.4），但实现手柄从"调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 均值"变为"调重叠对数 </w:t>
            </w: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ab</w:t>
            </w:r>
            <w:r>
              <w:rPr>
                <w:rFonts w:ascii="Times New Roman" w:cs="Times New Roman" w:eastAsia="SimSun" w:hAnsi="Times New Roman"/>
              </w:rPr>
              <w:t xml:space="preserve">"——原实现思路会直接失败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是 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Times New Roman" w:cs="Times New Roman" w:eastAsia="SimSun" w:hAnsi="Times New Roman"/>
              </w:rPr>
              <w:t xml:space="preserve">-偶的（宇称定理）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作废</w:t>
            </w:r>
            <w:r>
              <w:rPr>
                <w:rFonts w:ascii="Times New Roman" w:cs="Times New Roman" w:eastAsia="SimSun" w:hAnsi="Times New Roman"/>
              </w:rPr>
              <w:t xml:space="preserve">大纲 V.5 的实验设计。扫 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得到的方向差异只是有限尺寸涨落，不是破缺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不可由保度重连调节（数值确认，变化恰为 0）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确认</w:t>
            </w:r>
            <w:r>
              <w:rPr>
                <w:rFonts w:ascii="Times New Roman" w:cs="Times New Roman" w:eastAsia="SimSun" w:hAnsi="Times New Roman"/>
              </w:rPr>
              <w:t xml:space="preserve">大纲把 V.3（标签置换调 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）与 V.2/V.4（重连调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）分开是对的，二者不可合并；第 3 周实现时须保持这一分工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[li2024directed] 已在有向超图上做过均场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新增</w:t>
            </w:r>
            <w:r>
              <w:rPr>
                <w:rFonts w:ascii="Times New Roman" w:cs="Times New Roman" w:eastAsia="SimSun" w:hAnsi="Times New Roman"/>
              </w:rPr>
              <w:t xml:space="preserve">一项此前不在大纲里的必做实验：均场基线 + 边基对照。C1 的全部价值现在系于这个对照</w:t>
            </w:r>
          </w:p>
        </w:tc>
      </w:tr>
    </w:tbl>
    <w:p>
      <w:pPr>
        <w:spacing w:after="160"/>
      </w:pP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此外，C3 收窄后新增两项配套工作（外部均匀采样器接入、混杂审计面板），也不在原计划内。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净效果：原 8 周 → 现实约 10 周。</w:t>
      </w:r>
      <w:r>
        <w:rPr>
          <w:rFonts w:ascii="Times New Roman" w:cs="Times New Roman" w:eastAsia="SimSun" w:hAnsi="Times New Roman"/>
        </w:rPr>
        <w:t xml:space="preserve"> 下面按新的依赖关系重排。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1. 关键路径</w:t>
      </w:r>
    </w:p>
    <w:p>
      <w:pPr>
        <w:shd w:fill="F4F6F8" w:val="clear"/>
        <w:spacing w:after="0" w:before="14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V.1/V.2 生成器 ✅ ──┬─→ 均场基线 ──┐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│              ├─→ [W1] C1 对照实验 ──┐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├─→ Gillespie ─┘                      │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│                                     ├─→ [W6-7] 结果图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├─→ V.3 r_io 扫描 ✅ ─────────────────┤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│                                     │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└─→ [W3] V.4 α 扫描（新实现）─────────┤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          │                           │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          └─→ [W4] V.5 Δα 破缺（新设计）</w:t>
      </w:r>
    </w:p>
    <w:p>
      <w:pPr>
        <w:shd w:fill="F4F6F8" w:val="clear"/>
        <w:spacing w:after="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                              </w:t>
      </w:r>
    </w:p>
    <w:p>
      <w:pPr>
        <w:shd w:fill="F4F6F8" w:val="clear"/>
        <w:spacing w:after="140" w:before="0" w:line="240"/>
        <w:ind w:left="200"/>
      </w:pPr>
      <w:r>
        <w:rPr>
          <w:rFonts w:ascii="Consolas" w:eastAsia="SimSun" w:hAnsi="Consolas"/>
          <w:sz w:val="17"/>
          <w:szCs w:val="17"/>
        </w:rPr>
        <w:t xml:space="preserve">[W2] 并发型 EBCM 手推 ──→ [W5] μ→0 桥接 ←── [W2] 渗流 PGF 阈值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关键路径是 </w:t>
      </w:r>
      <w:r>
        <w:rPr>
          <w:rFonts w:ascii="Consolas" w:eastAsia="SimSun" w:hAnsi="Consolas"/>
          <w:b/>
          <w:bCs/>
        </w:rPr>
        <w:t xml:space="preserve">均场基线 → C1 对照 → 结果图</w:t>
      </w:r>
      <w:r>
        <w:rPr>
          <w:rFonts w:ascii="Times New Roman" w:cs="Times New Roman" w:eastAsia="SimSun" w:hAnsi="Times New Roman"/>
        </w:rPr>
        <w:t xml:space="preserve">，不是原计划以为的 EBCM 推导。因为 C1 的贡献声明已经改成"相对均场的增益"，没有这个对照，C1 就只是一组无人要求的方程。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2. 周计划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第 1 周　C1 的立身之本：均场 vs 边基对照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这是新增的、也是最该先做的一周。</w:t>
      </w:r>
      <w:r>
        <w:rPr>
          <w:rFonts w:ascii="Times New Roman" w:cs="Times New Roman" w:eastAsia="SimSun" w:hAnsi="Times New Roman"/>
          <w:b/>
          <w:bCs/>
        </w:rPr>
        <w:t xml:space="preserve">先做它是因为：如果边基相对均场的增益在阈值邻域小到测不出来，C1 就不成立，整篇论文的骨架要重搭——这个风险必须最早暴露。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实现 [li2024directed] 式的均场基线（按超度分类的房室方程），作为对照组；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实现有向超图上的精确 Gillespie 仿真（大纲 III.4 步骤 1），作为真值；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在阈值邻域扫参，出第一张图：</w:t>
      </w:r>
      <w:r>
        <w:rPr>
          <w:rFonts w:ascii="Times New Roman" w:cs="Times New Roman" w:eastAsia="SimSun" w:hAnsi="Times New Roman"/>
          <w:b/>
          <w:bCs/>
        </w:rPr>
        <w:t xml:space="preserve">均场误差 vs 边基误差 vs </w:t>
      </w:r>
      <w:r>
        <w:rPr>
          <w:rFonts w:ascii="Cambria Math" w:eastAsia="SimSun" w:hAnsi="Cambria Math"/>
          <w:b/>
          <w:bCs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早停判据：</w:t>
      </w:r>
      <w:r>
        <w:rPr>
          <w:rFonts w:ascii="Times New Roman" w:cs="Times New Roman" w:eastAsia="SimSun" w:hAnsi="Times New Roman"/>
          <w:color w:val="3A4A5A"/>
        </w:rPr>
        <w:t xml:space="preserve"> 若边基在阈值邻域的误差改善不足一个量级，立即停下来重新评估 C1 的措辞与全文骨架，不要继续往下推。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第 2 周　两套理论的推导（可并行）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方程侧</w:t>
      </w:r>
      <w:r>
        <w:rPr>
          <w:rFonts w:ascii="Times New Roman" w:cs="Times New Roman" w:eastAsia="SimSun" w:hAnsi="Times New Roman"/>
        </w:rPr>
        <w:t xml:space="preserve">：并发型 EBCM 的 </w:t>
      </w:r>
      <w:r>
        <w:rPr>
          <w:rFonts w:ascii="Cambria Math" w:eastAsia="SimSun" w:hAnsi="Cambria Math"/>
          <w:i w:val="false"/>
          <w:iCs w:val="false"/>
        </w:rPr>
        <w:t xml:space="preserve">τ=1,2</w:t>
      </w:r>
      <w:r>
        <w:rPr>
          <w:rFonts w:ascii="Times New Roman" w:cs="Times New Roman" w:eastAsia="SimSun" w:hAnsi="Times New Roman"/>
        </w:rPr>
        <w:t xml:space="preserve"> 手推与闭合（大纲 III.2–III.3），标出闭合引入误差的位置；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渗流侧</w:t>
      </w:r>
      <w:r>
        <w:rPr>
          <w:rFonts w:ascii="Times New Roman" w:cs="Times New Roman" w:eastAsia="SimSun" w:hAnsi="Times New Roman"/>
        </w:rPr>
        <w:t xml:space="preserve">：SIR→有向超图渗流映射的等价性论证 + PGF 自洽方程 + 阈值条件（IV.1–IV.3）。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按 </w:t>
      </w:r>
      <w:r>
        <w:rPr>
          <w:rFonts w:ascii="Consolas" w:eastAsia="SimSun" w:hAnsi="Consolas"/>
        </w:rPr>
        <w:t xml:space="preserve">alpha-definition.md</w:t>
      </w:r>
      <w:r>
        <w:rPr>
          <w:rFonts w:ascii="Times New Roman" w:cs="Times New Roman" w:eastAsia="SimSun" w:hAnsi="Times New Roman"/>
        </w:rPr>
        <w:t xml:space="preserve"> §3 作为四通道转移算子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 的权重进入，阈值即 </w:t>
      </w: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)=1</w:t>
      </w:r>
      <w:r>
        <w:rPr>
          <w:rFonts w:ascii="Times New Roman" w:cs="Times New Roman" w:eastAsia="SimSun" w:hAnsi="Times New Roman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顺带起草 IV.4 的 k-core 双声明。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第 3 周　V.4：α 扫描（按新定义重新实现）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不要照大纲原方案写。</w:t>
      </w:r>
      <w:r>
        <w:rPr>
          <w:rFonts w:ascii="Times New Roman" w:cs="Times New Roman" w:eastAsia="SimSun" w:hAnsi="Times New Roman"/>
        </w:rPr>
        <w:t xml:space="preserve"> 保度约束下四通道重叠总量被度序列锁死，调节手柄是重叠对数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实现条件均值形式的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测量；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实现以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为目标的保度双边交换（Metropolis，能量取 </w:t>
      </w:r>
      <w:r>
        <w:rPr>
          <w:rFonts w:ascii="Consolas" w:eastAsia="SimSun" w:hAnsi="Consolas"/>
        </w:rPr>
        <w:t xml:space="preserve">part1-introduction.md</w:t>
      </w:r>
      <w:r>
        <w:rPr>
          <w:rFonts w:ascii="Times New Roman" w:cs="Times New Roman" w:eastAsia="SimSun" w:hAnsi="Times New Roman"/>
        </w:rPr>
        <w:t xml:space="preserve"> I.2 中的形式）；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验证：保度严格成立、命中目标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、且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Times New Roman" w:cs="Times New Roman" w:eastAsia="SimSun" w:hAnsi="Times New Roman"/>
        </w:rPr>
        <w:t xml:space="preserve"> 被固定住；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同时实现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⇄</w:t>
      </w:r>
      <w:r>
        <w:rPr>
          <w:rFonts w:ascii="Times New Roman" w:cs="Times New Roman" w:eastAsia="SimSun" w:hAnsi="Times New Roman"/>
        </w:rPr>
        <w:t xml:space="preserve">（Lotito strong 互惠档）的测量——注意它是超边级判据，与张量分量不同类。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第 4 周　V.5：方向对称性破缺（按宇称定理重新设计）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序参量必须取爆发概率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Π</w:t>
      </w:r>
      <w:r>
        <w:rPr>
          <w:rFonts w:ascii="Times New Roman" w:cs="Times New Roman" w:eastAsia="SimSun" w:hAnsi="Times New Roman"/>
          <w:b/>
          <w:bCs/>
        </w:rPr>
        <w:t xml:space="preserve"> 与条件爆发规模 </w:t>
      </w:r>
      <w:r>
        <w:rPr>
          <w:rFonts w:ascii="Cambria Math" w:eastAsia="SimSun" w:hAnsi="Cambria Math"/>
          <w:b/>
          <w:bCs/>
          <w:i/>
          <w:iCs/>
        </w:rPr>
        <w:t xml:space="preserve">S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̄</w:t>
      </w:r>
      <w:r>
        <w:rPr>
          <w:rFonts w:ascii="Times New Roman" w:cs="Times New Roman" w:eastAsia="SimSun" w:hAnsi="Times New Roman"/>
          <w:b/>
          <w:bCs/>
        </w:rPr>
        <w:t xml:space="preserve">，不能取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⟨ </w:t>
      </w:r>
      <w:r>
        <w:rPr>
          <w:rFonts w:ascii="Cambria Math" w:eastAsia="SimSun" w:hAnsi="Cambria Math"/>
          <w:b/>
          <w:bCs/>
          <w:i/>
          <w:iCs/>
        </w:rPr>
        <w:t xml:space="preserve">S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——已数值确认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在任何结构上都不破缺（命题 2），用它做实验会得到一片零信号；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主实验改为驱动分支结构的不对称</w:t>
      </w:r>
      <w:r>
        <w:rPr>
          <w:rFonts w:ascii="Times New Roman" w:cs="Times New Roman" w:eastAsia="SimSun" w:hAnsi="Times New Roman"/>
        </w:rPr>
        <w:t xml:space="preserve">（阶数 </w:t>
      </w:r>
      <w:r>
        <w:rPr>
          <w:rFonts w:ascii="Cambria Math" w:eastAsia="SimSun" w:hAnsi="Cambria Math"/>
          <w:i w:val="false"/>
          <w:iCs w:val="false"/>
        </w:rPr>
        <w:t xml:space="preserve">τ≠η</w:t>
      </w:r>
      <w:r>
        <w:rPr>
          <w:rFonts w:ascii="Times New Roman" w:cs="Times New Roman" w:eastAsia="SimSun" w:hAnsi="Times New Roman"/>
        </w:rPr>
        <w:t xml:space="preserve">、双度序列不对称）——预跑确认这是破缺的实际来源，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 不是；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  <w:b/>
          <w:bCs/>
        </w:rPr>
        <w:t xml:space="preserve"> 降为上界测量</w:t>
      </w:r>
      <w:r>
        <w:rPr>
          <w:rFonts w:ascii="Times New Roman" w:cs="Times New Roman" w:eastAsia="SimSun" w:hAnsi="Times New Roman"/>
        </w:rPr>
        <w:t xml:space="preserve">：在互换对称序列上扫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，报告 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d</w:t>
      </w:r>
      <w:r>
        <w:rPr>
          <w:rFonts w:ascii="Cambria Math" w:eastAsia="SimSun" w:hAnsi="Cambria Math"/>
          <w:i w:val="false"/>
          <w:iCs w:val="false"/>
        </w:rPr>
        <w:t xml:space="preserve">Π|</w:t>
      </w:r>
      <w:r>
        <w:rPr>
          <w:rFonts w:ascii="Times New Roman" w:cs="Times New Roman" w:eastAsia="SimSun" w:hAnsi="Times New Roman"/>
        </w:rPr>
        <w:t xml:space="preserve"> 的置信上界。这是一个有内容的负面结果——它说明宇称分类只给候选集合，不能预测哪一个真正起作用；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同时报告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的</w:t>
      </w:r>
      <w:r>
        <w:rPr>
          <w:rFonts w:ascii="Times New Roman" w:cs="Times New Roman" w:eastAsia="SimSun" w:hAnsi="Times New Roman"/>
          <w:b/>
          <w:bCs/>
        </w:rPr>
        <w:t xml:space="preserve">残余不对称</w:t>
      </w:r>
      <w:r>
        <w:rPr>
          <w:rFonts w:ascii="Times New Roman" w:cs="Times New Roman" w:eastAsia="SimSun" w:hAnsi="Times New Roman"/>
        </w:rPr>
        <w:t xml:space="preserve">（预跑测得约 </w:t>
      </w:r>
      <w:r>
        <w:rPr>
          <w:rFonts w:ascii="Cambria Math" w:eastAsia="SimSun" w:hAnsi="Cambria Math"/>
          <w:i w:val="false"/>
          <w:iCs w:val="false"/>
        </w:rPr>
        <w:t xml:space="preserve">-2%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 w:val="false"/>
          <w:iCs w:val="false"/>
        </w:rPr>
        <w:t xml:space="preserve">5σ</w:t>
      </w:r>
      <w:r>
        <w:rPr>
          <w:rFonts w:ascii="Times New Roman" w:cs="Times New Roman" w:eastAsia="SimSun" w:hAnsi="Times New Roman"/>
        </w:rPr>
        <w:t xml:space="preserve">，源于超边级激活破坏命题 2 的假设 (ii)）——它不是零，须作为已知系统项与 </w:t>
      </w:r>
      <w:r>
        <w:rPr>
          <w:rFonts w:ascii="Cambria Math" w:eastAsia="SimSun" w:hAnsi="Cambria Math"/>
          <w:i w:val="false"/>
          <w:iCs w:val="false"/>
        </w:rPr>
        <w:t xml:space="preserve">Π</w:t>
      </w:r>
      <w:r>
        <w:rPr>
          <w:rFonts w:ascii="Times New Roman" w:cs="Times New Roman" w:eastAsia="SimSun" w:hAnsi="Times New Roman"/>
        </w:rPr>
        <w:t xml:space="preserve"> 的破缺幅度并列；</w:t>
      </w:r>
      <w:r>
        <w:rPr>
          <w:rFonts w:ascii="Times New Roman" w:cs="Times New Roman" w:eastAsia="SimSun" w:hAnsi="Times New Roman"/>
          <w:b/>
          <w:bCs/>
        </w:rPr>
        <w:t xml:space="preserve">补偿关系须按全期望公式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⟨ </w:t>
      </w:r>
      <w:r>
        <w:rPr>
          <w:rFonts w:ascii="Cambria Math" w:eastAsia="SimSun" w:hAnsi="Cambria Math"/>
          <w:b/>
          <w:bCs/>
          <w:i/>
          <w:iCs/>
        </w:rPr>
        <w:t xml:space="preserve">S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⟩=Π</w:t>
      </w:r>
      <w:r>
        <w:rPr>
          <w:rFonts w:ascii="Cambria Math" w:eastAsia="SimSun" w:hAnsi="Cambria Math"/>
          <w:b/>
          <w:bCs/>
          <w:i/>
          <w:iCs/>
        </w:rPr>
        <w:t xml:space="preserve">S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̄+(1-Π)</w:t>
      </w:r>
      <w:r>
        <w:rPr>
          <w:rFonts w:ascii="Cambria Math" w:eastAsia="SimSun" w:hAnsi="Cambria Math"/>
          <w:b/>
          <w:bCs/>
          <w:i/>
          <w:iCs/>
        </w:rPr>
        <w:t xml:space="preserve">s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&lt;</w:t>
      </w:r>
      <w:r>
        <w:rPr>
          <w:rFonts w:ascii="Times New Roman" w:cs="Times New Roman" w:eastAsia="SimSun" w:hAnsi="Times New Roman"/>
          <w:b/>
          <w:bCs/>
        </w:rPr>
        <w:t xml:space="preserve"> 逐项核算</w:t>
      </w:r>
      <w:r>
        <w:rPr>
          <w:rFonts w:ascii="Times New Roman" w:cs="Times New Roman" w:eastAsia="SimSun" w:hAnsi="Times New Roman"/>
        </w:rPr>
        <w:t xml:space="preserve">——预跑实测自限爆发项在 </w:t>
      </w:r>
      <w:r>
        <w:rPr>
          <w:rFonts w:ascii="Cambria Math" w:eastAsia="SimSun" w:hAnsi="Cambria Math"/>
          <w:i w:val="false"/>
          <w:iCs w:val="false"/>
        </w:rPr>
        <w:t xml:space="preserve">λ=λ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处占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的 47%，简化成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⟩≈Π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̄</w:t>
      </w:r>
      <w:r>
        <w:rPr>
          <w:rFonts w:ascii="Times New Roman" w:cs="Times New Roman" w:eastAsia="SimSun" w:hAnsi="Times New Roman"/>
        </w:rPr>
        <w:t xml:space="preserve"> 会在最需要它的阈值邻域失效；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作为阴性对照：在同一设定下扫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，验证 </w:t>
      </w:r>
      <w:r>
        <w:rPr>
          <w:rFonts w:ascii="Cambria Math" w:eastAsia="SimSun" w:hAnsi="Cambria Math"/>
          <w:i w:val="false"/>
          <w:iCs w:val="false"/>
        </w:rPr>
        <w:t xml:space="preserve">Π</w:t>
      </w:r>
      <w:r>
        <w:rPr>
          <w:rFonts w:ascii="Times New Roman" w:cs="Times New Roman" w:eastAsia="SimSun" w:hAnsi="Times New Roman"/>
        </w:rPr>
        <w:t xml:space="preserve"> 不破缺——</w:t>
      </w:r>
      <w:r>
        <w:rPr>
          <w:rFonts w:ascii="Times New Roman" w:cs="Times New Roman" w:eastAsia="SimSun" w:hAnsi="Times New Roman"/>
          <w:b/>
          <w:bCs/>
        </w:rPr>
        <w:t xml:space="preserve">注意对照必须做在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Π</w:t>
      </w:r>
      <w:r>
        <w:rPr>
          <w:rFonts w:ascii="Times New Roman" w:cs="Times New Roman" w:eastAsia="SimSun" w:hAnsi="Times New Roman"/>
          <w:b/>
          <w:bCs/>
        </w:rPr>
        <w:t xml:space="preserve"> 上，做在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⟨ </w:t>
      </w:r>
      <w:r>
        <w:rPr>
          <w:rFonts w:ascii="Cambria Math" w:eastAsia="SimSun" w:hAnsi="Cambria Math"/>
          <w:b/>
          <w:bCs/>
          <w:i/>
          <w:iCs/>
        </w:rPr>
        <w:t xml:space="preserve">S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  <w:b/>
          <w:bCs/>
        </w:rPr>
        <w:t xml:space="preserve"> 上则毫无信息量</w:t>
      </w:r>
      <w:r>
        <w:rPr>
          <w:rFonts w:ascii="Times New Roman" w:cs="Times New Roman" w:eastAsia="SimSun" w:hAnsi="Times New Roman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设计简化（预跑确认）</w:t>
      </w:r>
      <w:r>
        <w:rPr>
          <w:rFonts w:ascii="Times New Roman" w:cs="Times New Roman" w:eastAsia="SimSun" w:hAnsi="Times New Roman"/>
        </w:rPr>
        <w:t xml:space="preserve">：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Times New Roman" w:cs="Times New Roman" w:eastAsia="SimSun" w:hAnsi="Times New Roman"/>
        </w:rPr>
        <w:t xml:space="preserve"> 是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-偶的，成对 H-vs-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H 比较不受其漂移干扰，故不需要钉住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Times New Roman" w:cs="Times New Roman" w:eastAsia="SimSun" w:hAnsi="Times New Roman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b/>
          <w:bCs/>
          <w:i/>
          <w:iCs/>
        </w:rPr>
        <w:t xml:space="preserve">S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cut</w:t>
      </w:r>
      <w:r>
        <w:rPr>
          <w:rFonts w:ascii="Times New Roman" w:cs="Times New Roman" w:eastAsia="SimSun" w:hAnsi="Times New Roman"/>
        </w:rPr>
        <w:t xml:space="preserve">：阈值邻域用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cut</w:t>
      </w:r>
      <w:r>
        <w:rPr>
          <w:rFonts w:ascii="Cambria Math" w:eastAsia="SimSun" w:hAnsi="Cambria Math"/>
          <w:i w:val="false"/>
          <w:iCs w:val="false"/>
        </w:rPr>
        <w:t xml:space="preserve">=0.02</w:t>
      </w:r>
      <w:r>
        <w:rPr>
          <w:rFonts w:ascii="Times New Roman" w:cs="Times New Roman" w:eastAsia="SimSun" w:hAnsi="Times New Roman"/>
        </w:rPr>
        <w:t xml:space="preserve"> 已足够干净（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=400</w:t>
      </w:r>
      <w:r>
        <w:rPr>
          <w:rFonts w:ascii="Times New Roman" w:cs="Times New Roman" w:eastAsia="SimSun" w:hAnsi="Times New Roman"/>
        </w:rPr>
        <w:t xml:space="preserve"> 预跑），深超临界区双峰间隙才变脏；生产运行仍建议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≥10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3</w:t>
      </w:r>
      <w:r>
        <w:rPr>
          <w:rFonts w:ascii="Times New Roman" w:cs="Times New Roman" w:eastAsia="SimSun" w:hAnsi="Times New Roman"/>
        </w:rPr>
        <w:t xml:space="preserve"> 并报告对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cut</w:t>
      </w:r>
      <w:r>
        <w:rPr>
          <w:rFonts w:ascii="Times New Roman" w:cs="Times New Roman" w:eastAsia="SimSun" w:hAnsi="Times New Roman"/>
        </w:rPr>
        <w:t xml:space="preserve"> 的敏感性；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附录 D 的后向张量算子定义（宇称即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↦ </w:t>
      </w:r>
      <w:r>
        <w:rPr>
          <w:rFonts w:ascii="Cambria Math" w:eastAsia="SimSun" w:hAnsi="Cambria Math"/>
          <w:i/>
          <w:iCs/>
        </w:rPr>
        <w:t xml:space="preserve">JM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⊤</w:t>
      </w:r>
      <w:r>
        <w:rPr>
          <w:rFonts w:ascii="Cambria Math" w:eastAsia="SimSun" w:hAnsi="Cambria Math"/>
          <w:i/>
          <w:iCs/>
        </w:rPr>
        <w:t xml:space="preserve">J</w:t>
      </w:r>
      <w:r>
        <w:rPr>
          <w:rFonts w:ascii="Times New Roman" w:cs="Times New Roman" w:eastAsia="SimSun" w:hAnsi="Times New Roman"/>
        </w:rPr>
        <w:t xml:space="preserve"> 下的不变性）。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第 5 周　C5：μ→0 桥接 + C3 配套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从 III.2 与 IV.2 的自洽方程分别取 </w:t>
      </w:r>
      <w:r>
        <w:rPr>
          <w:rFonts w:ascii="Cambria Math" w:eastAsia="SimSun" w:hAnsi="Cambria Math"/>
          <w:i w:val="false"/>
          <w:iCs w:val="false"/>
        </w:rPr>
        <w:t xml:space="preserve">μ→0</w:t>
      </w:r>
      <w:r>
        <w:rPr>
          <w:rFonts w:ascii="Times New Roman" w:cs="Times New Roman" w:eastAsia="SimSun" w:hAnsi="Times New Roman"/>
        </w:rPr>
        <w:t xml:space="preserve">，逐项对照证明同构；</w:t>
      </w:r>
      <w:r>
        <w:rPr>
          <w:rFonts w:ascii="Times New Roman" w:cs="Times New Roman" w:eastAsia="SimSun" w:hAnsi="Times New Roman"/>
          <w:b/>
          <w:bCs/>
        </w:rPr>
        <w:t xml:space="preserve">端点已数值验证</w:t>
      </w:r>
      <w:r>
        <w:rPr>
          <w:rFonts w:ascii="Times New Roman" w:cs="Times New Roman" w:eastAsia="SimSun" w:hAnsi="Times New Roman"/>
        </w:rPr>
        <w:t xml:space="preserve">：</w:t>
      </w:r>
      <w:r>
        <w:rPr>
          <w:rFonts w:ascii="Cambria Math" w:eastAsia="SimSun" w:hAnsi="Cambria Math"/>
          <w:i w:val="false"/>
          <w:iCs w:val="false"/>
        </w:rPr>
        <w:t xml:space="preserve">λ=500</w:t>
      </w:r>
      <w:r>
        <w:rPr>
          <w:rFonts w:ascii="Times New Roman" w:cs="Times New Roman" w:eastAsia="SimSun" w:hAnsi="Times New Roman"/>
        </w:rPr>
        <w:t xml:space="preserve"> 时 Gillespie 终态与确定性可达集逐种子完全一致（150 个种子最大偏差 0.0000，见 </w:t>
      </w:r>
      <w:r>
        <w:rPr>
          <w:rFonts w:ascii="Consolas" w:eastAsia="SimSun" w:hAnsi="Consolas"/>
        </w:rPr>
        <w:t xml:space="preserve">tools/feasibility_check.py</w:t>
      </w:r>
      <w:r>
        <w:rPr>
          <w:rFonts w:ascii="Times New Roman" w:cs="Times New Roman" w:eastAsia="SimSun" w:hAnsi="Times New Roman"/>
        </w:rPr>
        <w:t xml:space="preserve">），两方法的共同极限存在且已知；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数值验证两方法阈值一致（这是 VI.3 的图）；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接入外部均匀采样器</w:t>
      </w:r>
      <w:r>
        <w:rPr>
          <w:rFonts w:ascii="Times New Roman" w:cs="Times New Roman" w:eastAsia="SimSun" w:hAnsi="Times New Roman"/>
        </w:rPr>
        <w:t xml:space="preserve">（[kraakman2026sampling] / [abuissa2026dinghy]）作为零模型基线——我们自己的有偏链不能当零模型；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实现混杂审计面板：沿每条扫描线报告未靶向的重叠通道、超边级聚类、高阶互惠性、连通分支规模。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第 6–7 周　全部结果图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VI.1 阈值对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/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Times New Roman" w:cs="Times New Roman" w:eastAsia="SimSun" w:hAnsi="Times New Roman"/>
        </w:rPr>
        <w:t xml:space="preserve"> /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⇄</w:t>
      </w:r>
      <w:r>
        <w:rPr>
          <w:rFonts w:ascii="Times New Roman" w:cs="Times New Roman" w:eastAsia="SimSun" w:hAnsi="Times New Roman"/>
        </w:rPr>
        <w:t xml:space="preserve"> / </w:t>
      </w:r>
      <w:r>
        <w:rPr>
          <w:rFonts w:ascii="Cambria Math" w:eastAsia="SimSun" w:hAnsi="Cambria Math"/>
          <w:i w:val="false"/>
          <w:iCs w:val="false"/>
        </w:rPr>
        <w:t xml:space="preserve">(τ,η)</w:t>
      </w:r>
      <w:r>
        <w:rPr>
          <w:rFonts w:ascii="Times New Roman" w:cs="Times New Roman" w:eastAsia="SimSun" w:hAnsi="Times New Roman"/>
        </w:rPr>
        <w:t xml:space="preserve"> 的依赖；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VI.2 破缺相图（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 为主轴）+ 阴性对照；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VI.3 两方法交叉验证；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附录 A/B/C 推导（异质阈值 PGF 求平均、剂量核、非指数康复）。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第 8 周　真实数据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见 §4——数据集需要先定。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第 9–10 周　整合与投稿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正文整合、摘要、图集定稿；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投稿前重跑一次 cite-verify 与全库检索</w:t>
      </w:r>
      <w:r>
        <w:rPr>
          <w:rFonts w:ascii="Times New Roman" w:cs="Times New Roman" w:eastAsia="SimSun" w:hAnsi="Times New Roman"/>
        </w:rPr>
        <w:t xml:space="preserve">（近半年会有新预印本，这次已经吃过一次亏）；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参考文献压缩：现有 59 条中，11 条严格化文献可压成一句或删除。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3. 与大纲 R.2 的差异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大纲 R.2 原顺序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现在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1. μ→0 桥接 + 两方法定位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降到第 5 周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定位文字已在 Part I 完成；桥接依赖第 2 周的两套方程，不能最先做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2. EBCM 手推 + Gillespie 校验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拆开：Gillespie 提到第 1 周，手推留第 2 周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Gillespie 是均场/边基对照的前置件，而那个对照是 C1 的立身之本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3. 渗流 PGF + 双声明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并入第 2 周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与方程侧无依赖，可并行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4. 附录推导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并入第 6–7 周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不在关键路径上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5. α 定义 + 工具2 + 数据 + 图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α 定义已完成；工具 2 提到第 3 周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定义不再是阻塞项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（无）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新增</w:t>
            </w:r>
            <w:r>
              <w:rPr>
                <w:rFonts w:ascii="Times New Roman" w:cs="Times New Roman" w:eastAsia="SimSun" w:hAnsi="Times New Roman"/>
              </w:rPr>
              <w:t xml:space="preserve">：均场基线对照、外部采样器接入、混杂审计面板、破缺阴性对照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均为 v2 收窄后的必需配套</w:t>
            </w:r>
          </w:p>
        </w:tc>
      </w:tr>
    </w:tbl>
    <w:p>
      <w:pPr>
        <w:spacing w:after="160"/>
      </w:pP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4. 唯一仍然开放的事项：真实数据（大纲 1.1）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这是现在唯一还需要你/老师定的东西。</w:t>
      </w:r>
      <w:r>
        <w:rPr>
          <w:rFonts w:ascii="Times New Roman" w:cs="Times New Roman" w:eastAsia="SimSun" w:hAnsi="Times New Roman"/>
          <w:b/>
          <w:bCs/>
        </w:rPr>
        <w:t xml:space="preserve">建议直接用 [lotito2026directed] 的三个数据集</w:t>
      </w:r>
      <w:r>
        <w:rPr>
          <w:rFonts w:ascii="Times New Roman" w:cs="Times New Roman" w:eastAsia="SimSun" w:hAnsi="Times New Roman"/>
        </w:rPr>
        <w:t xml:space="preserve">：比特币交易、代谢网络、引用数据。理由：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它们本来就是有向超图，无需自己构造方向；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该文已在其上报告了指纹、高阶互惠性、motif 的测量值，</w:t>
      </w:r>
      <w:r>
        <w:rPr>
          <w:rFonts w:ascii="Times New Roman" w:cs="Times New Roman" w:eastAsia="SimSun" w:hAnsi="Times New Roman"/>
          <w:b/>
          <w:bCs/>
        </w:rPr>
        <w:t xml:space="preserve">我们的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α</w:t>
      </w:r>
      <w:r>
        <w:rPr>
          <w:rFonts w:ascii="Cambria Math" w:eastAsia="SimSun" w:hAnsi="Cambria Math"/>
          <w:b/>
          <w:bCs/>
          <w:i w:val="false"/>
          <w:iCs w:val="false"/>
          <w:vertAlign w:val="superscript"/>
        </w:rPr>
        <w:t xml:space="preserve">⇄</w:t>
      </w:r>
      <w:r>
        <w:rPr>
          <w:rFonts w:ascii="Times New Roman" w:cs="Times New Roman" w:eastAsia="SimSun" w:hAnsi="Times New Roman"/>
          <w:b/>
          <w:bCs/>
        </w:rPr>
        <w:t xml:space="preserve">（同为 strong 互惠档）可以直接与其报告值并列</w:t>
      </w:r>
      <w:r>
        <w:rPr>
          <w:rFonts w:ascii="Times New Roman" w:cs="Times New Roman" w:eastAsia="SimSun" w:hAnsi="Times New Roman"/>
        </w:rPr>
        <w:t xml:space="preserve">，不必自证测量口径可比；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代谢网络还与 [klamt2009] 的化学反应超图传统衔接，物理刊读者熟悉。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若采用，第 8 周的工作是：测其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、四通道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，用实测结构跑模型，并与均匀零模型对照。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5. 风险台账（更新）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编号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风险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状态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处置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3.1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保度重连生成器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✅ 已完成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工具1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扫描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✅ 已完成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现另作破缺实验的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阴性对照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2.2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 定义与解析入口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✅ 已关闭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onsolas" w:eastAsia="SimSun" w:hAnsi="Consolas"/>
              </w:rPr>
              <w:t xml:space="preserve">alpha-definition.md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G-3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目标期刊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✅ 已关闭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物理刊，短工期路线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5.x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两方法叙事定位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✅ 已完成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Part I v2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G-1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k-core 双声明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🟡 待写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第 2 周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工具2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 扫描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⬜ 待做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第 3 周，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按新手柄实现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工具3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破缺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⬜ 待做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第 4 周，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按新设计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B.3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EBCM 校验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⬜ 待做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第 1–2 周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2.1′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μ→0 桥接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⬜ 待做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第 5 周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新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边基相对均场的增益可能不显著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🟡 预跑已解除大半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预跑（</w:t>
            </w:r>
            <w:r>
              <w:rPr>
                <w:rFonts w:ascii="Consolas" w:eastAsia="SimSun" w:hAnsi="Consolas"/>
              </w:rPr>
              <w:t xml:space="preserve">tools/feasibility_check.py</w:t>
            </w:r>
            <w:r>
              <w:rPr>
                <w:rFonts w:ascii="Times New Roman" w:cs="Times New Roman" w:eastAsia="SimSun" w:hAnsi="Times New Roman"/>
              </w:rPr>
              <w:t xml:space="preserve">）：超度均场对阈值邻域条件爆发规模的误差达 87–146%，且 N=150→300 不消失——改进空间充足。第 1 周仍按早停判据正式复测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新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破缺序参量选错（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⟨ </w:t>
            </w:r>
            <w:r>
              <w:rPr>
                <w:rFonts w:ascii="Cambria Math" w:eastAsia="SimSun" w:hAnsi="Cambria Math"/>
                <w:i/>
                <w:iCs/>
              </w:rPr>
              <w:t xml:space="preserve">S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⟩</w:t>
            </w:r>
            <w:r>
              <w:rPr>
                <w:rFonts w:ascii="Times New Roman" w:cs="Times New Roman" w:eastAsia="SimSun" w:hAnsi="Times New Roman"/>
              </w:rPr>
              <w:t xml:space="preserve"> 恒不破缺）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✅ 已解决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改用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(Π,</w:t>
            </w:r>
            <w:r>
              <w:rPr>
                <w:rFonts w:ascii="Cambria Math" w:eastAsia="SimSun" w:hAnsi="Cambria Math"/>
                <w:i/>
                <w:iCs/>
              </w:rPr>
              <w:t xml:space="preserve">S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̄)</w:t>
            </w:r>
            <w:r>
              <w:rPr>
                <w:rFonts w:ascii="Times New Roman" w:cs="Times New Roman" w:eastAsia="SimSun" w:hAnsi="Times New Roman"/>
              </w:rPr>
              <w:t xml:space="preserve">；见 </w:t>
            </w:r>
            <w:r>
              <w:rPr>
                <w:rFonts w:ascii="Consolas" w:eastAsia="SimSun" w:hAnsi="Consolas"/>
              </w:rPr>
              <w:t xml:space="preserve">tools/breaking_observable.py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新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Δα</w:t>
            </w:r>
            <w:r>
              <w:rPr>
                <w:rFonts w:ascii="Times New Roman" w:cs="Times New Roman" w:eastAsia="SimSun" w:hAnsi="Times New Roman"/>
              </w:rPr>
              <w:t xml:space="preserve"> 驱动的破缺可能太弱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✅ 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已定论：不驱动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阈值邻域、</w:t>
            </w: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=400</w:t>
            </w:r>
            <w:r>
              <w:rPr>
                <w:rFonts w:ascii="Times New Roman" w:cs="Times New Roman" w:eastAsia="SimSun" w:hAnsi="Times New Roman"/>
              </w:rPr>
              <w:t xml:space="preserve">、6 结构、系综误差棒：合并 0.25–0.58σ 且各结构符号随机。效应量标度检验（</w:t>
            </w: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=200</w:t>
            </w:r>
            <w:r>
              <w:rPr>
                <w:rFonts w:ascii="Times New Roman" w:cs="Times New Roman" w:eastAsia="SimSun" w:hAnsi="Times New Roman"/>
              </w:rPr>
              <w:t xml:space="preserve">、8 结构）：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Δα</w:t>
            </w:r>
            <w:r>
              <w:rPr>
                <w:rFonts w:ascii="Times New Roman" w:cs="Times New Roman" w:eastAsia="SimSun" w:hAnsi="Times New Roman"/>
              </w:rPr>
              <w:t xml:space="preserve"> 从 0 增至 0.108，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⟨</w:t>
            </w:r>
            <w:r>
              <w:rPr>
                <w:rFonts w:ascii="Cambria Math" w:eastAsia="SimSun" w:hAnsi="Cambria Math"/>
                <w:i/>
                <w:iCs/>
              </w:rPr>
              <w:t xml:space="preserve">d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Π⟩</w:t>
            </w:r>
            <w:r>
              <w:rPr>
                <w:rFonts w:ascii="Times New Roman" w:cs="Times New Roman" w:eastAsia="SimSun" w:hAnsi="Times New Roman"/>
              </w:rPr>
              <w:t xml:space="preserve"> 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完全平坦</w:t>
            </w:r>
            <w:r>
              <w:rPr>
                <w:rFonts w:ascii="Times New Roman" w:cs="Times New Roman" w:eastAsia="SimSun" w:hAnsi="Times New Roman"/>
              </w:rPr>
              <w:t xml:space="preserve">（−0.0025→−0.0017）。同协议阳性对照（阶数不对称）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18σ</w:t>
            </w:r>
            <w:r>
              <w:rPr>
                <w:rFonts w:ascii="Times New Roman" w:cs="Times New Roman" w:eastAsia="SimSun" w:hAnsi="Times New Roman"/>
              </w:rPr>
              <w:t xml:space="preserve">。结论：破缺由分支结构不对称驱动，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Δα</w:t>
            </w:r>
            <w:r>
              <w:rPr>
                <w:rFonts w:ascii="Times New Roman" w:cs="Times New Roman" w:eastAsia="SimSun" w:hAnsi="Times New Roman"/>
              </w:rPr>
              <w:t xml:space="preserve"> 给上界。见 </w:t>
            </w:r>
            <w:r>
              <w:rPr>
                <w:rFonts w:ascii="Consolas" w:eastAsia="SimSun" w:hAnsi="Consolas"/>
              </w:rPr>
              <w:t xml:space="preserve">tools/delta_alpha_scaling.py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新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混杂审计可能显示未靶向量漂移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⬜ 待做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第 5 周；若越界须与结论一并讨论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1.1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真实数据集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⚠️ 待定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建议 [lotito2026directed] 三数据集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G-4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工期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✅ 本文档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约 10 周</w:t>
            </w:r>
          </w:p>
        </w:tc>
      </w:tr>
    </w:tbl>
    <w:p>
      <w:pPr>
        <w:spacing w:after="160"/>
      </w:pP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6. 一句话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原计划把推导排在最前，但收窄后 C1 的价值系于一个</w:t>
      </w:r>
      <w:r>
        <w:rPr>
          <w:rFonts w:ascii="Times New Roman" w:cs="Times New Roman" w:eastAsia="SimSun" w:hAnsi="Times New Roman"/>
          <w:b/>
          <w:bCs/>
        </w:rPr>
        <w:t xml:space="preserve">实验</w:t>
      </w:r>
      <w:r>
        <w:rPr>
          <w:rFonts w:ascii="Times New Roman" w:cs="Times New Roman" w:eastAsia="SimSun" w:hAnsi="Times New Roman"/>
        </w:rPr>
        <w:t xml:space="preserve">（边基 vs 均场），而不是推导本身。所以新计划把那个实验提到第 1 周，并给它一个早停判据——</w:t>
      </w:r>
      <w:r>
        <w:rPr>
          <w:rFonts w:ascii="Times New Roman" w:cs="Times New Roman" w:eastAsia="SimSun" w:hAnsi="Times New Roman"/>
          <w:b/>
          <w:bCs/>
        </w:rPr>
        <w:t xml:space="preserve">如果它不成立，越早知道越好。</w:t>
      </w:r>
    </w:p>
    <w:p>
      <w:pPr>
        <w:pBdr>
          <w:bottom w:val="single" w:color="BBBBBB" w:sz="6" w:space="1"/>
        </w:pBdr>
        <w:spacing w:after="200" w:before="200"/>
      </w:pPr>
    </w:p>
    <w:p>
      <w:pPr>
        <w:pStyle w:val="Heading2"/>
        <w:spacing w:after="160" w:before="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spacing w:after="120" w:before="120" w:line="320"/>
      </w:pPr>
      <w:r>
        <w:rPr>
          <w:rFonts w:ascii="Times New Roman" w:cs="Times New Roman" w:eastAsia="SimSun" w:hAnsi="Times New Roman"/>
        </w:rPr>
        <w:t xml:space="preserve">按 BibTeX key 字母序排列，正文中的 [key] 与此处一一对应。全部条目已通过 cite-verify 核验。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[abuissa2026dinghy]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Maryam Abuissa, Matteo Riondato, Eli Upfal (2026) DiNgHy: null models for non-degenerate directed hypergraphs. Data Mining and Knowledge Discovery 40.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doi:10.1007/s10618-026-01209-8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[ball2014intersection]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Frank G. Ball, David J. Sirl, Pieter Trapman (2014) Epidemics on random intersection graphs. The Annals of Applied Probability 24.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doi:10.1214/13-AAP942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[barbour2013]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Andrew Barbour, Gesine Reinert (2013) Approximating the epidemic curve. Electronic Journal of Probability 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doi:10.1214/EJP.v18-2557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Giulia Cencetti, Iacopo Iacopini, Vito Latora, Maxime Lucas, Alice Patania et al. (2020) Networks beyond pairwise interactions: Structure and dynamics. Physics Reports 874, 1–92.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doi:10.1016/j.physrep.2020.05.004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[battiston2021]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Enrico Amico, Alain Barrat, Ginestra Bianconi, Guilherme Ferraz de Arruda, Benedetta Franceschiello et al. (2021) The physics of higher-order interactions in complex systems. Nature Physics 17, 1093–1098.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doi:10.1038/s41567-021-01371-4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[baxter2010bootstrap]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G. J. Baxter, S. N. Dorogovtsev, A. V. Goltsev, J. F. F. Mendes (2010) Bootstrap percolation on complex networks. Physical Review E 82, 011103.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doi:10.1103/PhysRevE.82.011103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[benson2018] </w:t>
      </w:r>
      <w:r>
        <w:rPr>
          <w:rFonts w:ascii="Times New Roman" w:cs="Times New Roman" w:eastAsia="SimSun" w:hAnsi="Times New Roman"/>
          <w:sz w:val="19"/>
          <w:szCs w:val="19"/>
        </w:rPr>
        <w:t xml:space="preserve">Austin R. Benson, Rediet Abebe, Michael T. Schaub, Ali Jadbabaie, Jon Kleinberg (2018) Simplicial closure and higher-order link prediction. Proceedings of the National Academy of Sciences 115, E11221–E11230.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doi:10.1073/pnas.1800683115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[bianconi2024percolation]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Ginestra Bianconi, Sergey N. Dorogovtsev (2024) Theory of percolation on hypergraphs. Physical Review E 109, 014306.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doi:10.1103/PhysRevE.109.014306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[boguna2005directed]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Marián Boguñá, M. Ángeles Serrano (2005) Generalized percolation in random directed networks. Physical Review E 72, 016106.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doi:10.1103/PhysRevE.72.016106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[bohman2012] </w:t>
      </w:r>
      <w:r>
        <w:rPr>
          <w:rFonts w:ascii="Times New Roman" w:cs="Times New Roman" w:eastAsia="SimSun" w:hAnsi="Times New Roman"/>
          <w:sz w:val="19"/>
          <w:szCs w:val="19"/>
        </w:rPr>
        <w:t xml:space="preserve">Tom Bohman, Michael Picollelli (2012) SIR epidemics on random graphs with a fixed degree sequence. Random Structures &amp; Algorithms 41.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[bollobas2007inhomogeneous] </w:t>
      </w:r>
      <w:r>
        <w:rPr>
          <w:rFonts w:ascii="Times New Roman" w:cs="Times New Roman" w:eastAsia="SimSun" w:hAnsi="Times New Roman"/>
          <w:sz w:val="19"/>
          <w:szCs w:val="19"/>
        </w:rPr>
        <w:t xml:space="preserve">Béla Bollobás, Svante Janson, Oliver Riordan (2007) The phase transition in inhomogeneous random graphs. Random Structures &amp; Algorithms 31.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doi:10.1002/rsa.20168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[bollobas2016martingales] </w:t>
      </w:r>
      <w:r>
        <w:rPr>
          <w:rFonts w:ascii="Times New Roman" w:cs="Times New Roman" w:eastAsia="SimSun" w:hAnsi="Times New Roman"/>
          <w:sz w:val="19"/>
          <w:szCs w:val="19"/>
        </w:rPr>
        <w:t xml:space="preserve">Béla Bollobás, Oliver Riordan (2016) Exploring hypergraphs with martingales. Random Structures &amp; Algorithms 50.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doi:10.1002/rsa.20678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[cai2021directed]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Xing Shi Cai, Guillem Perarnau (2021) The giant component of the directed configuration model revisited. Latin American Journal of Probability and Mathematical Statistics 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doi:10.30757/ALEA.v18-55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[centola2007]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Damon Centola, Michael Macy (2007) Complex contagions and the weakness of long ties. American Journal of Sociology 113, 702–734.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doi:10.1086/521848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[chodrow2020]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Philip S. Chodrow (2020) Configuration models of random hypergraphs. Journal of Complex Networks 8, cnaa018.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doi:10.1093/comnet/cnaa018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[contrerasaso2024beyond] </w:t>
      </w:r>
      <w:r>
        <w:rPr>
          <w:rFonts w:ascii="Times New Roman" w:cs="Times New Roman" w:eastAsia="SimSun" w:hAnsi="Times New Roman"/>
          <w:sz w:val="19"/>
          <w:szCs w:val="19"/>
        </w:rPr>
        <w:t xml:space="preserve">Gonzalo Contreras-Aso, Regino Criado, Miguel Romance (2024) Beyond directed hypergraphs: heterogeneous hypergraphs and spectral centralities. Journal of Complex Networks 12.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doi:10.1093/comnet/cnae037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[cooper2004scc] </w:t>
      </w:r>
      <w:r>
        <w:rPr>
          <w:rFonts w:ascii="Times New Roman" w:cs="Times New Roman" w:eastAsia="SimSun" w:hAnsi="Times New Roman"/>
          <w:sz w:val="19"/>
          <w:szCs w:val="19"/>
        </w:rPr>
        <w:t xml:space="preserve">Colin Cooper, Alan Frieze (2004) The Size of the Largest Strongly Connected Component of a Random Digraph with a Given Degree Sequence. Combinatorics, Probability and Computing 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doi:10.1017/S096354830400611X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Giovanni Petri, Yamir Moreno (2020) Social contagion models on hypergraphs. Physical Review Research 2, 023032.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doi:10.1103/PhysRevResearch.2.023032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[dearruda2024review]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Alberto Aleta, Yamir Moreno (2024) Contagion dynamics on higher-order networks. Nature Reviews Physics 6, 468–482.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doi:10.1038/s42254-024-00733-0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[decreusefond2012]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Laurent Decreusefond, Jean-Stéphane Dhersin, Pascal Moyal, Viet Chi Tran (2012) Large graph limit for an SIR process in random network with heterogeneous connectivity. The Annals of Applied Probability 22.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doi:10.1214/11-AAP773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[dorogovtsev2001giant]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J. F. F. Mendes, A. N. Samukhin (2001) Giant strongly connected component of directed networks. Physical Review E 64, 025101.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doi:10.1103/PhysRevE.64.025101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[dorogovtsev2006kcore]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A. V. Goltsev, J. F. F. Mendes (2006) k-core organization of complex networks. Physical Review Letters 96, 040601.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doi:10.1103/PhysRevLett.96.040601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[gallo1993]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Giorgio Gallo, Giustino Longo, Stefano Pallottino, Sang Nguyen (1993) Directed hypergraphs and applications. Discrete Applied Mathematics 42, 177–201.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doi:10.1016/0166-218X(93)90045-P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[gallo2024memory] </w:t>
      </w:r>
      <w:r>
        <w:rPr>
          <w:rFonts w:ascii="Times New Roman" w:cs="Times New Roman" w:eastAsia="SimSun" w:hAnsi="Times New Roman"/>
          <w:sz w:val="19"/>
          <w:szCs w:val="19"/>
        </w:rPr>
        <w:t xml:space="preserve">Luca Gallo, Lucas Lacasa, Vito Latora, Federico Battiston (2024) Higher-order correlations reveal complex memory in temporal hypergraphs. Nature Communications 15.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doi:10.1038/s41467-024-48578-6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[gillespie1977]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Daniel T. Gillespie (1977) Exact stochastic simulation of coupled chemical reactions. The Journal of Physical Chemistry 81, 2340–2361.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doi:10.1021/j100540a008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[grassberger1983]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Peter Grassberger (1983) On the critical behavior of the general epidemic process and dynamical percolation. Mathematical Biosciences 63, 157–172.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doi:10.1016/0025-5564(82)90036-0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[iacopini2019] </w:t>
      </w:r>
      <w:r>
        <w:rPr>
          <w:rFonts w:ascii="Times New Roman" w:cs="Times New Roman" w:eastAsia="SimSun" w:hAnsi="Times New Roman"/>
          <w:sz w:val="19"/>
          <w:szCs w:val="19"/>
        </w:rPr>
        <w:t xml:space="preserve">Iacopo Iacopini, Giovanni Petri, Alain Barrat, Vito Latora (2019) Simplicial models of social contagion. Nature Communications 10, 2485.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doi:10.1038/s41467-019-10431-6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[janson2014lln] </w:t>
      </w:r>
      <w:r>
        <w:rPr>
          <w:rFonts w:ascii="Times New Roman" w:cs="Times New Roman" w:eastAsia="SimSun" w:hAnsi="Times New Roman"/>
          <w:sz w:val="19"/>
          <w:szCs w:val="19"/>
        </w:rPr>
        <w:t xml:space="preserve">Svante Janson, Malwina Luczak, Peter Windridge (2014) Law of large numbers for the SIR epidemic on a random graph with given degrees. Random Structures &amp; Algorithms 45.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doi:10.1002/rsa.20575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[janson2016nearcritical] </w:t>
      </w:r>
      <w:r>
        <w:rPr>
          <w:rFonts w:ascii="Times New Roman" w:cs="Times New Roman" w:eastAsia="SimSun" w:hAnsi="Times New Roman"/>
          <w:sz w:val="19"/>
          <w:szCs w:val="19"/>
        </w:rPr>
        <w:t xml:space="preserve">Svante Janson, Malwina Luczak, Peter Windridge, Thomas House (2016) Near-critical SIR epidemic on a random graph with given degrees. Journal of Mathematical Biology 74.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doi:10.1007/s00285-016-1043-z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[kenah2007]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Eben Kenah, James M. Robins (2007) Second look at the spread of epidemics on networks. Physical Review E 76, 036113.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doi:10.1103/PhysRevE.76.036113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[kim2023reciprocity]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Sunwoo Kim, Minyoung Choe, Jaemin Yoo, Kijung Shin (2023) Reciprocity in directed hypergraphs: measures, findings, and generators. Data Mining and Knowledge Discovery.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doi:10.1007/s10618-023-00955-3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[kim2024components]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Jung-Ho Kim, K.-I. Goh (2024) Higher-Order Components Dictate Higher-Order Contagion Dynamics in Hypergraphs. Physical Review Letters 132, 087401.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doi:10.1103/PhysRevLett.132.087401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[klamt2009] </w:t>
      </w:r>
      <w:r>
        <w:rPr>
          <w:rFonts w:ascii="Times New Roman" w:cs="Times New Roman" w:eastAsia="SimSun" w:hAnsi="Times New Roman"/>
          <w:sz w:val="19"/>
          <w:szCs w:val="19"/>
        </w:rPr>
        <w:t xml:space="preserve">Steffen Klamt, Utz-Uwe Haus, Fabian Theis (2009) Hypergraphs and cellular networks. PLoS Computational Biology 5, e1000385.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doi:10.1371/journal.pcbi.1000385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[kraakman2026sampling]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Yanna J. Kraakman, Clara Stegehuis (2026) Uniformly sampling random directed hypergraphs with fixed degrees. Discrete Mathematics 349, 114961.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doi:10.1016/j.disc.2025.114961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[lamataotin2025matrix] </w:t>
      </w:r>
      <w:r>
        <w:rPr>
          <w:rFonts w:ascii="Times New Roman" w:cs="Times New Roman" w:eastAsia="SimSun" w:hAnsi="Times New Roman"/>
          <w:sz w:val="19"/>
          <w:szCs w:val="19"/>
        </w:rPr>
        <w:t xml:space="preserve">Santiago Lamata-Otín, Federico Malizia, Vito Latora, Mattia Frasca, Jesús Gómez-Gardeñes (2025) Hyperedge overlap drives synchronizability of systems with higher-order interactions. Physical Review E 111, 034302.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doi:10.1103/PhysRevE.111.034302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[landry2020]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Nicholas W. Landry, Juan G. Restrepo (2020) The effect of heterogeneity on hypergraph contagion models. Chaos 30, 103117.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doi:10.1063/5.0020034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[lee2021overlap]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Geon Lee, Minyoung Choe, Kijung Shin (2021) How Do Hyperedges Overlap in Real-World Hypergraphs? - Patterns, Measures, and Generators. Proceedings of the Web Conference 2021.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doi:10.1145/3442381.3450010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[li2024directed]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Juyi Li, Xiaoqun Wu, Jinhu Lü, Ling Lei (2024) Enhancing predictive accuracy in social contagion dynamics via directed hypergraph structures. Communications Physics 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doi:10.1038/s42005-024-01614-9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[lotito2026directed]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Quintino Francesco Lotito, Alberto Vendramini, Alberto Montresor, Federico Battiston (2026) The microscale organization of directed hypergraphs. Communications Physics 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doi:10.1038/s42005-025-02472-9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[malizia2025gbcm]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Andrés Guzmán, Iacopo Iacopini, István Z. Kiss (2025) Disentangling the Role of Heterogeneity and Hyperedge Overlap in Explosive Contagion on Higher-Order Networks. Physical Review Letters.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doi:10.1103/z3d5-94zb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Santiago Lamata-Otín, Mattia Frasca, Vito Latora, Jesús Gómez-Gardeñes (2025) Hyperedge overlap drives explosive transitions in systems with higher-order interactions. Nature Communications 16.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doi:10.1038/s41467-024-55506-1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[mancastroppa2023]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Marco Mancastroppa, Iacopo Iacopini, Giovanni Petri, Alain Barrat (2023) Hyper-cores promote localization and efficient seeding in higher-order processes. Nature Communications 14, 6223.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doi:10.1038/s41467-023-41887-2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[meyers2006directed]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 Ancel Meyers, M. E. J. Newman, Babak Pourbohloul (2006) Predicting epidemics on directed contact networks. Journal of Theoretical Biology 240, 400–418.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doi:10.1016/j.jtbi.2005.10.004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[miller2012ebcm]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Joel C. Miller, Anja C. Slim, Erik M. Volz (2012) Edge-based compartmental modelling for infectious disease spread. Journal of the Royal Society Interface 9, 890–906.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doi:10.1098/rsif.2011.0403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[morrison2021bootstrap]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Natasha Morrison, Jonathan A. Noel (2021) A sharp threshold for bootstrap percolation in a random hypergraph. Electronic Journal of Probability 26.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doi:10.1214/21-EJP650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[nakajima2022randomizing]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Kazuki Nakajima, Kazuyuki Shudo, Naoki Masuda (2022) Randomizing Hypergraphs Preserving Degree Correlation and Local Clustering. IEEE Transactions on Network Science and Engineering 9, 1139–1153.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doi:10.1109/TNSE.2021.3133380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[newman2001random]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Newman, S. H. Strogatz, D. J. Watts (2001) Random graphs with arbitrary degree distributions and their applications. Physical Review E 64, 026118.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doi:10.1103/PhysRevE.64.026118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[newman2002assortative]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Assortative mixing in networks. Physical Review Letters 89, 208701.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doi:10.1103/PhysRevLett.89.208701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[newman2002spread]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Spread of epidemic disease on networks. Physical Review E 66, 016128.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doi:10.1103/PhysRevE.66.016128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[pastorsatorras2001]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Alessandro Vespignani (2001) Epidemic spreading in scale-free networks. Physical Review Letters 86, 3200–3203.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doi:10.1103/PhysRevLett.86.3200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[pastorsatorras2015]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Claudio Castellano, Piet Van Mieghem, Alessandro Vespignani (2015) Epidemic processes in complex networks. Reviews of Modern Physics 87, 925–979.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doi:10.1103/RevModPhys.87.925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[stonge2021prl]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Hanlin Sun, Antoine Allard, Laurent Hébert-Dufresne, Ginestra Bianconi (2021) Universal nonlinear infection kernel from heterogeneous exposure on higher-order networks. Physical Review Letters 127, 158301.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doi:10.1103/PhysRevLett.127.158301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[stonge2022]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Iacopo Iacopini, Vito Latora, Alain Barrat, Giovanni Petri, Antoine Allard et al. (2022) Influential groups for seeding and sustaining nonlinear contagion in heterogeneous hypergraphs. Communications Physics 5, 25.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doi:10.1038/s42005-021-00788-w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[sun2021multiplex]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Ginestra Bianconi (2021) Higher-order percolation processes on multiplex hypergraphs. Physical Review E 104, 034306.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doi:10.1103/PhysRevE.104.034306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[sun2023triadic]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Filippo Radicchi, Jürgen Kurths, Ginestra Bianconi (2023) The dynamic nature of percolation on networks with triadic interactions. Nature Communications 14, 1308.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doi:10.1038/s41467-023-37019-5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[vanmieghem2013]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P. Van Mieghem, R. van de Bovenkamp (2013) Non-Markovian infection spread dramatically alters the susceptible-infected-susceptible epidemic threshold in networks. Physical Review Letters 110, 108701.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doi:10.1103/PhysRevLett.110.108701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[volz2008] </w:t>
      </w:r>
      <w:r>
        <w:rPr>
          <w:rFonts w:ascii="Times New Roman" w:cs="Times New Roman" w:eastAsia="SimSun" w:hAnsi="Times New Roman"/>
          <w:sz w:val="19"/>
          <w:szCs w:val="19"/>
        </w:rPr>
        <w:t xml:space="preserve">Erik Volz (2008) SIR dynamics in random networks with heterogeneous connectivity. Journal of Mathematical Biology 56, 293–310.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doi:10.1007/s00285-007-0116-4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[watts2002] </w:t>
      </w:r>
      <w:r>
        <w:rPr>
          <w:rFonts w:ascii="Times New Roman" w:cs="Times New Roman" w:eastAsia="SimSun" w:hAnsi="Times New Roman"/>
          <w:sz w:val="19"/>
          <w:szCs w:val="19"/>
        </w:rPr>
        <w:t xml:space="preserve">Duncan J. Watts (2002) A simple model of global cascades on random networks. Proceedings of the National Academy of Sciences 99, 5766–5771.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doi:10.1073/pnas.082090499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[xu2018directionality]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Xin-Jian Xu, Jia-Yan Li, Xinchu Fu, Li-Jie Zhang (2018) Impact of directionality and correlation on contagion. Scientific Reports 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doi:10.1038/s41598-018-22508-1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2026-08-09T06:40:34.156Z</dcterms:created>
  <dcterms:modified xsi:type="dcterms:W3CDTF">2026-08-09T06:40:34.156Z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