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多重超图上的 SIR：群体闭合方程与含时演化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一、模型与群体闭合方程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1.1 多重超图与记号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节点集为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。层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=1,…,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，层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上的超图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，主线取同质基数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。节点的层度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)=|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: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，写成向量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。引入两个生成函数：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k_c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 k_c-δ_ac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Times New Roman" w:cs="Times New Roman" w:eastAsia="SimSun" w:hAnsi="Times New Roman"/>
        </w:rPr>
        <w:t xml:space="preserve"> 描述节点侧，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描述沿层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的一个成员槽到达某节点时该节点的余度分布，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指数中的 </w:t>
      </w:r>
      <w:r>
        <w:rPr>
          <w:rFonts w:ascii="Cambria Math" w:eastAsia="SimSun" w:hAnsi="Cambria Math"/>
          <w:i w:val="false"/>
          <w:iCs w:val="false"/>
        </w:rPr>
        <w:t xml:space="preserve">-δ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ac</w:t>
      </w:r>
      <w:r>
        <w:rPr>
          <w:rFonts w:ascii="Times New Roman" w:cs="Times New Roman" w:eastAsia="SimSun" w:hAnsi="Times New Roman"/>
        </w:rPr>
        <w:t xml:space="preserve"> 即余度相减：来路那个群体不再计入。联合层度分布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是本模型的结构输入，层间的一切效应最终只经由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交叉项进入动力学。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1.2 SIR 动力学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节点状态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Times New Roman" w:cs="Times New Roman" w:eastAsia="SimSun" w:hAnsi="Times New Roman"/>
        </w:rPr>
        <w:t xml:space="preserve"> 跨层共享——个体在任一渠道被感染即在所有渠道中均为感染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态。记层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的群体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中已感染成员数为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。当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时群体激活，向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中每个易感成员各以速率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独立传递，否则静默；感染者以速率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康复。易感节点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的总风险率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e∈E_a: u∈e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/μ</w:t>
      </w:r>
      <w:r>
        <w:rPr>
          <w:rFonts w:ascii="Times New Roman" w:cs="Times New Roman" w:eastAsia="SimSun" w:hAnsi="Times New Roman"/>
        </w:rPr>
        <w:t xml:space="preserve">，主线取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。与有向超图不同，无向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群体中每个成员既是传染源也是传染靶：一个成员被感染后群体激活，可感染同群其他成员，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后者被感染又延长群体的激活时长，形成群内级联。本模型的新内容均源于此。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1.3 空腔构造与群体计数方程组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固定一个检验节点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，令其永久易感（空腔节点）。取一个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所属的层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群体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传递]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在局域树状假设下（位形模型系综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时局域收敛于超树，回路概率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），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所属各群体的上游分支互不相交，节点侧因而闭合为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),…,Φ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以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外的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个成员的计数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）为仓室，定义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未传递子概率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sir</w:t>
      </w:r>
      <w:r>
        <w:rPr>
          <w:rFonts w:ascii="Times New Roman" w:cs="Times New Roman" w:eastAsia="SimSun" w:hAnsi="Times New Roman"/>
        </w:rPr>
        <w:t xml:space="preserve">，激活且未传递的部分为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i≥θ_a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一个成员经由其他群体到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仍易感的概率为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(Φ)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故其外部风险率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(∂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一个易感成员的总感染率是外部与群内之和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1[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；群体向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1[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把概率移出「未传递」类。据此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begin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aligned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 &amp;(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])(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s+1,i-1,r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  &amp;+μ[(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s,i+1,r-1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end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aligned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（越界下标记为零。）对 (8)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项、群内项与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(7) 自洽。节点侧由 (5) 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闭合。初始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条件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s,i,0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-1,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i</w:t>
      </w:r>
      <w:r>
        <w:rPr>
          <w:rFonts w:ascii="Times New Roman" w:cs="Times New Roman" w:eastAsia="SimSun" w:hAnsi="Times New Roman"/>
        </w:rPr>
        <w:t xml:space="preserve">，其余为零，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(0)=1</w:t>
      </w:r>
      <w:r>
        <w:rPr>
          <w:rFonts w:ascii="Times New Roman" w:cs="Times New Roman" w:eastAsia="SimSun" w:hAnsi="Times New Roman"/>
        </w:rPr>
        <w:t xml:space="preserve">。方程组共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+1, 2)+2</w:t>
      </w:r>
      <w:r>
        <w:rPr>
          <w:rFonts w:ascii="Times New Roman" w:cs="Times New Roman" w:eastAsia="SimSun" w:hAnsi="Times New Roman"/>
        </w:rPr>
        <w:t xml:space="preserve"> 维，与系统规模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无关；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、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=(3,4)</w:t>
      </w:r>
      <w:r>
        <w:rPr>
          <w:rFonts w:ascii="Times New Roman" w:cs="Times New Roman" w:eastAsia="SimSun" w:hAnsi="Times New Roman"/>
        </w:rPr>
        <w:t xml:space="preserve"> 时为 18 个方程，积分一次即给出完整的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与终态规模。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1.4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以「感染经由哪一层传来」为型，经由层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感染的节点其层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群体数的期望为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⟩-δ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，每个被点燃的群体产出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个新感染成员（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为孤立群体内的群内级联期望，由一个小型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连续时间 Markov 链的递推给出，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 时退化为成对传递概率）。故多型分支矩阵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)[(⟨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⟩)-δ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爆发阈值由谱半径条件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 确定。图 1 的控制参数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即以此阈值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定标。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二、含时演化：闭合、均场与精确仿真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作为对照，同一模型的度均场取群体激活概率为系综平均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=1-(1-φ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m_a-1</w:t>
      </w:r>
      <w:r>
        <w:rPr>
          <w:rFonts w:ascii="Times New Roman" w:cs="Times New Roman" w:eastAsia="SimSun" w:hAnsi="Times New Roman"/>
        </w:rPr>
        <w:t xml:space="preserve">，其中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为层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成员槽被感染节点占据的比例，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均场丢弃了群内相关、邻域相关与群内级联，是评价群体闭合的基线。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1 给出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=(3,4)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下的完整时间演化，联合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层度分布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(2,2)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(3,3)</w:t>
      </w:r>
      <w:r>
        <w:rPr>
          <w:rFonts w:ascii="Times New Roman" w:cs="Times New Roman" w:eastAsia="SimSun" w:hAnsi="Times New Roman"/>
        </w:rPr>
        <w:t xml:space="preserve"> 上各占一半，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=0.0993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ε=0.02</w:t>
      </w:r>
      <w:r>
        <w:rPr>
          <w:rFonts w:ascii="Times New Roman" w:cs="Times New Roman" w:eastAsia="SimSun" w:hAnsi="Times New Roman"/>
        </w:rPr>
        <w:t xml:space="preserve">。群体闭合 (8) 与精确仿真在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上的最大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偏差分别为 </w:t>
      </w:r>
      <w:r>
        <w:rPr>
          <w:rFonts w:ascii="Cambria Math" w:eastAsia="SimSun" w:hAnsi="Cambria Math"/>
          <w:i w:val="false"/>
          <w:iCs w:val="false"/>
        </w:rPr>
        <w:t xml:space="preserve">0.0039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0.0011</w:t>
      </w:r>
      <w:r>
        <w:rPr>
          <w:rFonts w:ascii="Times New Roman" w:cs="Times New Roman" w:eastAsia="SimSun" w:hAnsi="Times New Roman"/>
        </w:rPr>
        <w:t xml:space="preserve">，均小于图中线宽；感染峰高相差 </w:t>
      </w:r>
      <w:r>
        <w:rPr>
          <w:rFonts w:ascii="Cambria Math" w:eastAsia="SimSun" w:hAnsi="Cambria Math"/>
          <w:i w:val="false"/>
          <w:iCs w:val="false"/>
        </w:rPr>
        <w:t xml:space="preserve">0.9%</w:t>
      </w:r>
      <w:r>
        <w:rPr>
          <w:rFonts w:ascii="Times New Roman" w:cs="Times New Roman" w:eastAsia="SimSun" w:hAnsi="Times New Roman"/>
        </w:rPr>
        <w:t xml:space="preserve">。度均场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(11) 则把感染峰值由仿真的 </w:t>
      </w:r>
      <w:r>
        <w:rPr>
          <w:rFonts w:ascii="Cambria Math" w:eastAsia="SimSun" w:hAnsi="Cambria Math"/>
          <w:i w:val="false"/>
          <w:iCs w:val="false"/>
        </w:rPr>
        <w:t xml:space="preserve">0.086</w:t>
      </w:r>
      <w:r>
        <w:rPr>
          <w:rFonts w:ascii="Times New Roman" w:cs="Times New Roman" w:eastAsia="SimSun" w:hAnsi="Times New Roman"/>
        </w:rPr>
        <w:t xml:space="preserve"> 抬到 </w:t>
      </w:r>
      <w:r>
        <w:rPr>
          <w:rFonts w:ascii="Cambria Math" w:eastAsia="SimSun" w:hAnsi="Cambria Math"/>
          <w:i w:val="false"/>
          <w:iCs w:val="false"/>
        </w:rPr>
        <w:t xml:space="preserve">0.139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1.6</w:t>
      </w:r>
      <w:r>
        <w:rPr>
          <w:rFonts w:ascii="Times New Roman" w:cs="Times New Roman" w:eastAsia="SimSun" w:hAnsi="Times New Roman"/>
        </w:rPr>
        <w:t xml:space="preserve"> 倍），并把峰位由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≈4.3</w:t>
      </w:r>
      <w:r>
        <w:rPr>
          <w:rFonts w:ascii="Times New Roman" w:cs="Times New Roman" w:eastAsia="SimSun" w:hAnsi="Times New Roman"/>
        </w:rPr>
        <w:t xml:space="preserve"> 提前到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≈3.5</w:t>
      </w:r>
      <w:r>
        <w:rPr>
          <w:rFonts w:ascii="Times New Roman" w:cs="Times New Roman" w:eastAsia="SimSun" w:hAnsi="Times New Roman"/>
        </w:rPr>
        <w:t xml:space="preserve">。群体闭合复现了完整的含时演化，度均场在同一参数下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显著失真。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669280" cy="246143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461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1　多重超图 SIR 的含时演化，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M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=2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m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=(3,4)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λ=1.6λ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、初始感染比例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ε=0.02</w:t>
      </w:r>
      <w:r>
        <w:rPr>
          <w:rFonts w:ascii="Times New Roman" w:cs="Times New Roman" w:eastAsia="SimSun" w:hAnsi="Times New Roman"/>
          <w:sz w:val="19"/>
          <w:szCs w:val="19"/>
        </w:rPr>
        <w:t xml:space="preserve">。黑线为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次独立 Gillespie 实现的均值，灰带为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置信区间，最宽处约与线宽相当；蓝虚线为群体闭合 (8)，橙点线为度均场 (11)。(a) 易感比例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S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；(b) 感染比例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I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三、数值校验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仿真为 (3) 所定义连续时间 Markov 过程的精确 Gillespie 抽样，取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内部自洽。</w:t>
      </w:r>
      <w:r>
        <w:rPr>
          <w:rFonts w:ascii="Times New Roman" w:cs="Times New Roman" w:eastAsia="SimSun" w:hAnsi="Times New Roman"/>
        </w:rPr>
        <w:t xml:space="preserve"> 方程组自带两条无需仿真的自检。其一为求和规则：对 (8) 逐态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求和应严格给出 (9)，残差处于机器精度（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-20</w:t>
      </w:r>
      <w:r>
        <w:rPr>
          <w:rFonts w:ascii="Times New Roman" w:cs="Times New Roman" w:eastAsia="SimSun" w:hAnsi="Times New Roman"/>
        </w:rPr>
        <w:t xml:space="preserve"> 量级），说明它是方程组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的代数恒等式。其二为全体成员易感的恒等式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m_a-1,0,0</w:t>
      </w:r>
      <w:r>
        <w:rPr>
          <w:rFonts w:ascii="Cambria Math" w:eastAsia="SimSun" w:hAnsi="Cambria Math"/>
          <w:i w:val="false"/>
          <w:iCs w:val="false"/>
        </w:rPr>
        <w:t xml:space="preserve">=[(1-ε)ψ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(Φ)]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m_a-1</w:t>
      </w:r>
      <w:r>
        <w:rPr>
          <w:rFonts w:ascii="Times New Roman" w:cs="Times New Roman" w:eastAsia="SimSun" w:hAnsi="Times New Roman"/>
        </w:rPr>
        <w:t xml:space="preserve">，其残差随积分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步长按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4</w:t>
      </w:r>
      <w:r>
        <w:rPr>
          <w:rFonts w:ascii="Times New Roman" w:cs="Times New Roman" w:eastAsia="SimSun" w:hAnsi="Times New Roman"/>
        </w:rPr>
        <w:t xml:space="preserve"> 收敛（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0.02</w:t>
      </w:r>
      <w:r>
        <w:rPr>
          <w:rFonts w:ascii="Times New Roman" w:cs="Times New Roman" w:eastAsia="SimSun" w:hAnsi="Times New Roman"/>
        </w:rPr>
        <w:t xml:space="preserve"> 逐次减半时残差为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8.0×10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5.0×10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3.1×10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相邻比约 </w:t>
      </w:r>
      <w:r>
        <w:rPr>
          <w:rFonts w:ascii="Cambria Math" w:eastAsia="SimSun" w:hAnsi="Cambria Math"/>
          <w:i w:val="false"/>
          <w:iCs w:val="false"/>
        </w:rPr>
        <w:t xml:space="preserve">16</w:t>
      </w:r>
      <w:r>
        <w:rPr>
          <w:rFonts w:ascii="Times New Roman" w:cs="Times New Roman" w:eastAsia="SimSun" w:hAnsi="Times New Roman"/>
        </w:rPr>
        <w:t xml:space="preserve">），与四阶 Runge–Kutta 的阶一致，说明该恒等式是方程组的严格推论、残差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纯属积分误差。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阈值自洽。</w:t>
      </w:r>
      <w:r>
        <w:rPr>
          <w:rFonts w:ascii="Times New Roman" w:cs="Times New Roman" w:eastAsia="SimSun" w:hAnsi="Times New Roman"/>
        </w:rPr>
        <w:t xml:space="preserve"> 阈值公式 (10) 与方程组自身在无病定态的线性失稳独立比对：将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(8) 作数值 Jacobian、对最大实部特征值二分求阈值，与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)=1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在六组构型（含反相关度分布、非对称速率与群体规模、三层、以及成对退化情形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=1/3</w:t>
      </w:r>
      <w:r>
        <w:rPr>
          <w:rFonts w:ascii="Times New Roman" w:cs="Times New Roman" w:eastAsia="SimSun" w:hAnsi="Times New Roman"/>
        </w:rPr>
        <w:t xml:space="preserve">）上的相对差均不超过 </w:t>
      </w:r>
      <w:r>
        <w:rPr>
          <w:rFonts w:ascii="Cambria Math" w:eastAsia="SimSun" w:hAnsi="Cambria Math"/>
          <w:i w:val="false"/>
          <w:iCs w:val="false"/>
        </w:rPr>
        <w:t xml:space="preserve">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-8</w:t>
      </w:r>
      <w:r>
        <w:rPr>
          <w:rFonts w:ascii="Times New Roman" w:cs="Times New Roman" w:eastAsia="SimSun" w:hAnsi="Times New Roman"/>
        </w:rPr>
        <w:t xml:space="preserve">，即数值 Jacobian 的有限差分精度。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两条路径不共享代码；若以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-1)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取代群内级联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，该一致性立即消失。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含时复现。</w:t>
      </w:r>
      <w:r>
        <w:rPr>
          <w:rFonts w:ascii="Times New Roman" w:cs="Times New Roman" w:eastAsia="SimSun" w:hAnsi="Times New Roman"/>
        </w:rPr>
        <w:t xml:space="preserve"> 如图 1 所示，群体闭合与精确仿真在整个时间演化上逐点吻合，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的最大偏差均小于线宽（</w:t>
      </w:r>
      <w:r>
        <w:rPr>
          <w:rFonts w:ascii="Cambria Math" w:eastAsia="SimSun" w:hAnsi="Cambria Math"/>
          <w:i w:val="false"/>
          <w:iCs w:val="false"/>
        </w:rPr>
        <w:t xml:space="preserve">0.0039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0.0011</w:t>
      </w:r>
      <w:r>
        <w:rPr>
          <w:rFonts w:ascii="Times New Roman" w:cs="Times New Roman" w:eastAsia="SimSun" w:hAnsi="Times New Roman"/>
        </w:rPr>
        <w:t xml:space="preserve">），感染峰高相差 </w:t>
      </w:r>
      <w:r>
        <w:rPr>
          <w:rFonts w:ascii="Cambria Math" w:eastAsia="SimSun" w:hAnsi="Cambria Math"/>
          <w:i w:val="false"/>
          <w:iCs w:val="false"/>
        </w:rPr>
        <w:t xml:space="preserve">0.9%</w:t>
      </w:r>
      <w:r>
        <w:rPr>
          <w:rFonts w:ascii="Times New Roman" w:cs="Times New Roman" w:eastAsia="SimSun" w:hAnsi="Times New Roman"/>
        </w:rPr>
        <w:t xml:space="preserve">、峰位在时间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网格分辨率（</w:t>
      </w:r>
      <w:r>
        <w:rPr>
          <w:rFonts w:ascii="Cambria Math" w:eastAsia="SimSun" w:hAnsi="Cambria Math"/>
          <w:i w:val="false"/>
          <w:iCs w:val="false"/>
        </w:rPr>
        <w:t xml:space="preserve">Δ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=0.25</w:t>
      </w:r>
      <w:r>
        <w:rPr>
          <w:rFonts w:ascii="Times New Roman" w:cs="Times New Roman" w:eastAsia="SimSun" w:hAnsi="Times New Roman"/>
        </w:rPr>
        <w:t xml:space="preserve">）内一致；度均场则系统性偏离。偏差随系统规模的标度进一步表明，群体闭合的误差随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增大单调趋零（至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已落入蒙特卡洛噪声），而度均场的误差收敛到非零平台——两者不是同一类误差：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前者可靠增大系统消除，后者是闭合层级的误差，不能。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独立复算。</w:t>
      </w:r>
      <w:r>
        <w:rPr>
          <w:rFonts w:ascii="Times New Roman" w:cs="Times New Roman" w:eastAsia="SimSun" w:hAnsi="Times New Roman"/>
        </w:rPr>
        <w:t xml:space="preserve"> 上述结果均由与原推导不共享路径的方式复核：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（成对）退化情形下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方程组可解析积出终态不动点，与 RK4 积分的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 相差不超过 </w:t>
      </w:r>
      <w:r>
        <w:rPr>
          <w:rFonts w:ascii="Cambria Math" w:eastAsia="SimSun" w:hAnsi="Cambria Math"/>
          <w:i w:val="false"/>
          <w:iCs w:val="false"/>
        </w:rPr>
        <w:t xml:space="preserve">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；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群内级联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由孤立群体的直接蒙特卡洛复核，五组参数一致到 </w:t>
      </w:r>
      <w:r>
        <w:rPr>
          <w:rFonts w:ascii="Cambria Math" w:eastAsia="SimSun" w:hAnsi="Cambria Math"/>
          <w:i w:val="false"/>
          <w:iCs w:val="false"/>
        </w:rPr>
        <w:t xml:space="preserve">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 以内；阈值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本身亦由亚临界终态外推独立测得，与 (10) 的解析值相容。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fbf459dc61b4fbb61c1443aed58e8447fe6557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2026-08-16T03:26:21.378Z</dcterms:created>
  <dcterms:modified xsi:type="dcterms:W3CDTF">2026-08-16T03:26:21.378Z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