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 w:before="300"/>
        <w:ind w:firstLine="0"/>
      </w:pPr>
      <w:r>
        <w:rPr>
          <w:rFonts w:ascii="SimHei" w:cs="SimHei" w:eastAsia="SimHei" w:hAnsi="SimHei"/>
          <w:b/>
          <w:bCs/>
          <w:color w:val="000000"/>
          <w:sz w:val="26"/>
          <w:szCs w:val="26"/>
        </w:rPr>
        <w:t xml:space="preserve">2. 由亚临界终态测定爆发阈值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2.1. 模型与次代矩阵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设节点集为 V，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N=|V|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a=1,…,M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，层 a 是 V 上的超图，主线取同质基数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。节点的参与由层度向量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k=(k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,…,k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(M)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编码，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为该节点所属的层 a 群体数，其联合分布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P(k)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是本节唯一的结构输入。一个群体在其感染成员数达到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时激活，随即以速率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μ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向其中每个易感成员独立传递；感染者以速率 μ 康复。以 μ 归一时间后，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是唯一的标量控制参数（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为固定的渠道权重）。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固定一个检验节点 u 并人为令其永久保持易感（空腔节点），取 u 所属的一个层 a 群体 e，定义边基变量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到 t 时刻尚未向 u 传递感染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(2.1)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无向群体与有向超图的分界在此显现。有向情形下尾集与头集不相交，头成员被感染并不延长激活，故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尾成员相互独立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是一条可用的假设；无向群体中每个成员既是传染源也是传染靶，一个成员被感染后群体随即激活，它可以感染同群其他成员，而后者被感染又延长群体的激活时长，从而进一步提高剩余成员被感染的概率。这一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使逐成员的乘积闭合失效。可行的做法不是忽略群内耦合，而是把它完整吸收进状态：以 e 中除 u 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个成员的计数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(s,i,r)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（易感、感染、康复，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s+i+r=m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）为房室，定义未传递子概率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 = Pr[ e 尚未向 u 传递 ∧ e∖{u} 处于 (s,i,r) ]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(2.2)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于是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，而激活且尚未传递的部分为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i≥θa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sir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。由于 u 恒为易感，它不计入群体的感染计数，群体的激活只取决于 i。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闭合建立在两条假设上。其一为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局域树状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：位形模型系综在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N→∞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时局域收敛于超树，任一有限邻域内出现回路的概率为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O(1/N)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，据此 u 所属各群体的上游分支互不相交，节点侧因而因子化为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 = (1−ε)·Ψ(Φ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(t),…,Φ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(2.3)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ε 为初始均匀感染比例，Ψ 为节点侧生成函数。其二为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成员外部暴露的独立同分布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：去掉 e 之后其各成员落在互不相交的分支中，故它们经由自身其他群体被感染的过程相互独立。该假设弱于有向情形下的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尾内无相互作用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——它只断言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外部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暴露独立，群内耦合并未被忽略，而是已由 (2.2) 的计数状态承载。方程组的维数为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Σ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+1,2)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（S 由 Φ 代数给出、终态规模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直接读出，均不另设方程），与系统规模 N 无关，积分一次即给出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S(t)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与终态规模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 = 1 − (1−ε)·Ψ(Φ(∞))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(2.4)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群内级联。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一个种子在一个孤立的 m 元群体内造成的感染数并非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，因为群体在整个级联期间持续激活。记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为从 i 个感染、s 个易感出发此后新增感染数的期望，以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=λs·1[i≥θ]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记群体的总感染率（以康复率为单位），则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u(i,s) = [α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+i)]·[1+u(i+1,s−1)] + [i/(α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i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+i)]·u(i−1,s)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(2.5)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边界为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u(0,s)=u(i,0)=0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，级联规模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C(m,λ,θ) = u(1, m−1)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(2.6)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是一个可精确计算的标量。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，级联消失而回到成对传递概率；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m≥3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C&gt;(m−1)T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m=3,4,5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分别超出 11.1%、21.5% 与 31.0%，并非可忽略的修正；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时单个种子无法激活群体，故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次代矩阵。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分支过程必须定义在群体层面：每个新感染节点点燃它的其余各群体，每个被点燃的群体产出 C 个新感染成员，这些成员再点燃各自的其余群体。若改在节点层面朴素地统计谁直接传染了谁，群内级联的后继会被重复计入。以</w:t>
      </w:r>
      <w:r>
        <w:rPr>
          <w:rFonts w:ascii="SimSun" w:cs="SimSun" w:eastAsia="SimSun" w:hAnsi="SimSun"/>
          <w:i/>
          <w:iCs/>
          <w:color w:val="000000"/>
          <w:sz w:val="21"/>
          <w:szCs w:val="21"/>
        </w:rPr>
        <w:t xml:space="preserve">感染经由哪一层传来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为型，经由层 a 感染的节点其层 b 群体数的期望为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= 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)·[ 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 − δ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],    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=λw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(2.7)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爆发阈值由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确定，ρ 为谱半径。标量再生数由此升维为矩阵：单层、多层、成对、高阶均为其特例。全部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C=T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，(2.7) 回到多层网络 SIR 的已知阈值；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M=1、m=2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时其传递概率阈值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/(1+λ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回到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⟨k⟩/(⟨k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⟩−⟨k⟩)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。此外，N 逐元非负，故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ρ(N)≥max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恰为孤立层 a 的分支数：多重超图的阈值因而不高于任一单层的阈值。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2.2. 亚临界簇规模与外推判据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(2.7) 给出的阈值是线性化的产物。本小节给出一条不经由线性化的独立判据，其思路与谱方法正相反：始终停在阈值以下，由小种子所引发簇的规模发散读出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。阈值以下单个种子只引发有限簇，但其平均总规模随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无界增长。以同一多型分支过程计数，该平均总规模为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χ(λ) = 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 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(2.8)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为种子的型分布。须注意 χ 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不可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写成标量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1/(1−ρ)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：后者仅在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v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 Perron 向量时成立，多层情形下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对各型的权重并不相同。可用的性质是 (2.8) 的极点来自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，故它恰在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处按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(1−ρ)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发散。其倒数因而是一条在阈值处线性穿零的光滑函数：</w:t>
      </w:r>
    </w:p>
    <w:p>
      <w:pPr>
        <w:tabs>
          <w:tab w:val="center" w:pos="4500"/>
          <w:tab w:val="right" w:pos="9000"/>
        </w:tabs>
        <w:spacing w:after="130" w:before="90" w:line="288"/>
      </w:pP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 = 1/χ(λ) ≃ c·(λ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−λ),    λ→λ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</w:t>
      </w:r>
      <w:r>
        <w:t xml:space="preserve">	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(2.9)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零点即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。该判据与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不共享任何中间量：一侧把非线性方程组 (2.2)–(2.4) 积分至终态、再对 (2.9) 作线性拟合，另一侧对次代矩阵 (2.7) 求谱半径并二分，二者仅共享模型定义。两条路线的一致因而是对彼此的非平凡检验，这正是图 3 所报告者。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有限种子偏置。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(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2.9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) 是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的陈述。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ε&gt;0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时即便恰在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仍为有限，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因而不归零，零点被系统性地推高。由于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对小 ε 为线性，该偏置可由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Richardson 外推消去，即以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2f(ε/2)−f(ε)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代替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f(ε)=R(∞)/ε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。其效果可以直接读出：在代表性构型上，未作外推时零点一致偏高 0.37%–0.44%，作外推后降至 0.031%–0.065%。偏置的系统性（各构型同号且量级相当）与该修正的有效性由此同时确认。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2.3. 数值结果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取窗口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λ∈[0.90,0.995]λ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上的十个点，每点按上述方式求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ε/R(∞)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，作线性拟合并取其 x 截距。八组构型的阈值覆盖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∈[0.08,0.40]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，含单层高阶超图、成对退化网络与双层多重超图，其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值依次为 0.080302、0.099309、0.128162、0.174483、0.185417、0.250000、0.333333 与 0.400567，而外推值依次为 0.080354、0.099370、0.128236、0.174536、0.185512、0.250096、0.333440 与 0.400702。相对偏差依次为 +0.065%、+0.062%、+0.058%、+0.031%、+0.052%、+0.039%、+0.032% 与 +0.034%，最大者为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。以外推截距的回归标准误 σ 为单位，偏离依次为 +1.51、+1.38、+1.26、+0.55、+1.03、+0.76、+0.57 与 +0.47，最大者 1.51σ，全部落在 1.6σ 之内。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残余偏差为线性律 (2.9) 的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有限窗口效应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，而非闭合与谱方法之间的实质分歧。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仅在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的紧邻严格线性，有限窗口上的拟合因而带一个由曲率所致的偏置；实测该偏置的符号随窗口位置翻转——窗口取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[0.85,0.99]λ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时为负、取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[0.92,0.998]λ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时为正——其量级与 σ 相当，故不可与真实偏离相区分。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5638800" cy="1819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3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由亚临界终态外推测定爆发阈值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，并与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独立比对。(a) 逆平均簇规模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ε/R(∞)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随归一化控制参数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λ/λ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线性趋零，示例三组构型为双层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m=(3,4)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、成对 6-正则与单层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m=3、k∈{2,3}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；散点为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ε→0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外推后的闭合终态，实线为窗口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[0.90,0.995]λ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内的线性拟合，虚线为其向零点的延长，空心圆标出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的预言（即横坐标 1，与竖虚线同处）；三条延长线各自的零点分别位于 1.000616、1.000386 与 1.000336，皆在其右侧而在此标度下与之不可分辨。(b) 八组构型的外推值与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值落在对角线上，最大相对偏差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，误差棒为回归标准误 σ，在此标度下小于标记。(c) 偏离的 σ 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(λ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extr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−λ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)/σ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，最大者 1.51σ，阴影分别为 ±1σ 与 ±2σ 带。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2.4. 层间参与相关对阈值的移动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阈值只经由度矩进入 N，故可取一族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边缘固定、仅相关不同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的构型，隔离出层间参与相关的效应。设两层度各以等概率为 2 或 4（边缘均值 3、方差 1），联合分布取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P(2,2)=P(4,4)=(1+ρ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P(2,4)=P(4,2)=(1−ρ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恰为两层度的 Pearson 相关。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由 −1（反相关）扫到 +1（正相关）时边缘不变，只有交叉矩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(2)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⟩=9+ρ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随之改变。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下，对角元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=C(λ)(⟨k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⟩/⟨k⟩−1)=(7/3)C(λ)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无关，非对角元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=C(λ)⟨k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(1)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(2)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⟩/⟨k⟩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线性增大，故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ρ(N)=C(λ)(16+ρ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，阈值由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C(λ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)=3/(16+ρ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定出——</w:t>
      </w: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λ_c 随 ρ_12 单调下降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。图 4 的实线即此曲线：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 0.1062 降到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=+1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处的 0.0930，共约 12.5%。同一族在位形模型多重超图上的直接 Gillespie 仿真（由亚临界簇规模外推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1/χ→0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）在六个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上复现该曲线，偏离最大 1.9σ、相对差不超过 1.1%。相同节点在两层同时充当枢纽，会在边缘结构不变的前提下集中跨层传播能力、压低阈值；反相关则抬高阈值。</w:t>
      </w:r>
    </w:p>
    <w:p>
      <w:pPr>
        <w:spacing w:after="70" w:before="160"/>
        <w:ind w:firstLine="0"/>
        <w:jc w:val="center"/>
      </w:pPr>
      <w:r>
        <w:drawing>
          <wp:inline distT="0" distB="0" distL="0" distR="0">
            <wp:extent cx="38100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264"/>
        <w:ind w:firstLine="0"/>
        <w:jc w:val="both"/>
      </w:pPr>
      <w:r>
        <w:rPr>
          <w:rFonts w:ascii="SimSun" w:cs="SimSun" w:eastAsia="SimSun" w:hAnsi="SimSun"/>
          <w:b/>
          <w:bCs/>
          <w:color w:val="000000"/>
          <w:sz w:val="18"/>
          <w:szCs w:val="18"/>
        </w:rPr>
        <w:t xml:space="preserve">图 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　层间参与相关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对爆发阈值的移动。层度边缘分布固定（每层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k∈{2,4}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各半、群体基数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m=(3,3)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），仅调节两层度的 Pearson 相关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。蓝线为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ρ(N)=1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的精确阈值，箱线图为多重超图上直接 Gillespie 仿真所得阈值的自助分布（亚临界簇规模外推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1/χ→0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、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N=2×10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perscript"/>
        </w:rPr>
        <w:t xml:space="preserve">4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；箱体为四分位距、须为 5–95 百分位、中线为中位数）。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λ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随 </w:t>
      </w:r>
      <w:r>
        <w:rPr>
          <w:rFonts w:ascii="Cambria Math" w:cs="Cambria Math" w:eastAsia="Cambria Math" w:hAnsi="Cambria Math"/>
          <w:color w:val="000000"/>
          <w:sz w:val="18"/>
          <w:szCs w:val="18"/>
        </w:rPr>
        <w:t xml:space="preserve">ρ</w:t>
      </w:r>
      <w:r>
        <w:rPr>
          <w:rFonts w:ascii="Cambria Math" w:cs="Cambria Math" w:eastAsia="Cambria Math" w:hAnsi="Cambria Math"/>
          <w:color w:val="000000"/>
          <w:sz w:val="18"/>
          <w:szCs w:val="18"/>
          <w:vertAlign w:val="subscript"/>
        </w:rPr>
        <w:t xml:space="preserve">12</w:t>
      </w:r>
      <w:r>
        <w:rPr>
          <w:rFonts w:ascii="SimSun" w:cs="SimSun" w:eastAsia="SimSun" w:hAnsi="SimSun"/>
          <w:color w:val="000000"/>
          <w:sz w:val="18"/>
          <w:szCs w:val="18"/>
        </w:rPr>
        <w:t xml:space="preserve"> 单调下降约 12.5%，理论与仿真在六点上一致至 1.9σ。</w:t>
      </w:r>
    </w:p>
    <w:p>
      <w:pPr>
        <w:spacing w:after="120" w:before="250"/>
        <w:ind w:firstLine="0"/>
      </w:pPr>
      <w:r>
        <w:rPr>
          <w:rFonts w:ascii="SimHei" w:cs="SimHei" w:eastAsia="SimHei" w:hAnsi="SimHei"/>
          <w:b/>
          <w:bCs/>
          <w:color w:val="000000"/>
          <w:sz w:val="22"/>
          <w:szCs w:val="22"/>
        </w:rPr>
        <w:t xml:space="preserve">2.5. 数值校验</w:t>
      </w:r>
    </w:p>
    <w:p>
      <w:pPr>
        <w:spacing w:after="120" w:before="0" w:line="300"/>
        <w:ind w:firstLine="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校验分四层：闭合内部的自洽、阈值公式的解析锚点、亚临界规模的独立复算，以及级联量本身的蒙特卡洛复核。脚本见 verify.py、verify_ode.py、datacheck.py 与 recheck_mc.py。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内部自洽。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对 (2.2) 的方程组求和，外部风险项、群内项与康复项各自守恒相消，只余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Φ̇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=−β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Φ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；数值上该求和规则的残差为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−17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量级，达机器精度。全部成员易感蕴含群体从未激活、因而必未传递，故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x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(a)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ma−1,0,0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(t)=[(1−ε)ψ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a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(Φ(t))]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ma−1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对一切 t 成立；该恒等式不是额外假设而是方程组的推论，其残差为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量级，纯属积分误差。此外，把 (2.2) 在无病定态作数值 Jacobian，其谱横标在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所给的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处为零，达机器精度：闭合与次代矩阵共享同一个阈值，(2.9) 的外推所测者因而确为 (2.7) 的阈值。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解析锚点。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(2.5)–(2.6) 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C=λ/(1+λ)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λ=0.13、0.35、1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2 处与解析值相差不超过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；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θ≥2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时恒为零。阈值公式 (2.7) 在成对退化的 5-正则单层上给出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=1/3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，与解析值逐位相同至十位有效数字。在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P={(2,2),(3,3)}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m=(3,3)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λ=0.13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11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22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=0.3860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，两层各自处于深度亚临界，而合并后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ρ=1.0132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已越过临界——两条各自亚临界的弱渠道合并之后可以超临界。最后，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θ=2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的层因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C=0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而在 N 中整列为零，精确出列，所得阈值与相应单层值逐位相同：一条高门槛渠道不改变爆发与否，只改变爆发规模。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独立复算。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闭合的亚临界终态与 (2.8) 的解析值不共享代码——一侧积分非线性方程组，另一侧求一个矩阵逆。以均匀播种写出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χ=1+1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(I−N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g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=⟨k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(b)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⟩C(m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,θ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b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，二者的相对差随 ε 单调下降：ε 依次取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时，相对差依次为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3.7×10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1.0×10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−3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2.7×10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4.5×10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1.1×10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。这证实闭合的亚临界终态在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ε→0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极限下即为 (2.8)，其极点严格位于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。终态本身亦已收敛：在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t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max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∈[2×10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4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,1.2×10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]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上 χ 逐位不变，残余的激活且未传递质量在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−18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以下。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b/>
          <w:bCs/>
          <w:color w:val="000000"/>
          <w:sz w:val="21"/>
          <w:szCs w:val="21"/>
        </w:rPr>
        <w:t xml:space="preserve">蒙特卡洛复核。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级联递推 (2.5) 由单群体的直接 Gillespie 抽样独立复核，该检验既不使用方程组也不使用次代矩阵。在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(m,λ,θ)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的八组取值上，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2×10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次实现给出的估计与递推值一致，偏离多在一个统计标准误以内；其中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m=2、λ=0.35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一组初次测得 3.4σ，以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6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次实现、四个独立随机种子复测后分别为 0.64σ、0.74σ、1.12σ 与 1.03σ，确认该偏离纯属统计涨落而非递推的系统误差。作为整体行为的旁证，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ρ(λ)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在扫描区间上严格单调递增（由 0.207 增至 2.715），二分因而适定；而以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ε=0.02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跨越阈值积分时，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R(∞)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在阈值以下保持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O(ε)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量级、在阈值以上抬升为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O(1)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的宏观爆发。</w:t>
      </w:r>
    </w:p>
    <w:p>
      <w:pPr>
        <w:spacing w:after="120" w:before="0" w:line="300"/>
        <w:ind w:firstLine="420"/>
        <w:jc w:val="both"/>
      </w:pPr>
      <w:r>
        <w:rPr>
          <w:rFonts w:ascii="SimSun" w:cs="SimSun" w:eastAsia="SimSun" w:hAnsi="SimSun"/>
          <w:color w:val="000000"/>
          <w:sz w:val="21"/>
          <w:szCs w:val="21"/>
        </w:rPr>
        <w:t xml:space="preserve">综上，由亚临界终态外推测得的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λ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bscript"/>
        </w:rPr>
        <w:t xml:space="preserve">c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与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ρ(N)=1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 在八组构型上一致到 </w:t>
      </w:r>
      <w:r>
        <w:rPr>
          <w:rFonts w:ascii="Cambria Math" w:cs="Cambria Math" w:eastAsia="Cambria Math" w:hAnsi="Cambria Math"/>
          <w:color w:val="000000"/>
          <w:sz w:val="21"/>
          <w:szCs w:val="21"/>
        </w:rPr>
        <w:t xml:space="preserve">6.5×10</w:t>
      </w:r>
      <w:r>
        <w:rPr>
          <w:rFonts w:ascii="Cambria Math" w:cs="Cambria Math" w:eastAsia="Cambria Math" w:hAnsi="Cambria Math"/>
          <w:color w:val="000000"/>
          <w:sz w:val="21"/>
          <w:szCs w:val="21"/>
          <w:vertAlign w:val="superscript"/>
        </w:rPr>
        <w:t xml:space="preserve">−4</w:t>
      </w:r>
      <w:r>
        <w:rPr>
          <w:rFonts w:ascii="SimSun" w:cs="SimSun" w:eastAsia="SimSun" w:hAnsi="SimSun"/>
          <w:color w:val="000000"/>
          <w:sz w:val="21"/>
          <w:szCs w:val="21"/>
        </w:rPr>
        <w:t xml:space="preserve">、偏离最大者 1.51σ。这是对爆发阈值的一次全非线性的独立确认，与前述 Jacobian 复核互补——后者检验线性化谱，前者检验非线性终态所继承的同一阈值。</w:t>
      </w:r>
    </w:p>
    <w:sectPr>
      <w:pgSz w:w="11906" w:h="16838" w:orient="portrait"/>
      <w:pgMar w:top="1400" w:right="1440" w:bottom="14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d952e96e5126cbb322b9a8a558b0c77d3700f48.png"/><Relationship Id="rId8" Type="http://schemas.openxmlformats.org/officeDocument/2006/relationships/image" Target="media/7e22159ad8dcbd04731e46cfc409a652d3b20a7b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2026-08-20T02:44:34.515Z</dcterms:created>
  <dcterms:modified xsi:type="dcterms:W3CDTF">2026-08-20T02:44:34.515Z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