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有向超边重叠 α 的可计算定义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解决大纲 II.2 / 风险 2.2（α 的操作化定义与解析入口）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供 II.2 正文、V.4 扫描工具、以及 I.2 边界声明引用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为什么原定义不能用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大纲原文把 α 描述为"尾集内部两两节点间的有向关系与超边整体方向一致的比例"。这个描述有三处使它无法进入理论：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它不是超边之间的量。</w:t>
      </w:r>
      <w:r>
        <w:rPr>
          <w:rFonts w:ascii="Times New Roman" w:cs="Times New Roman" w:eastAsia="SimSun" w:hAnsi="Times New Roman"/>
        </w:rPr>
        <w:t xml:space="preserve"> 它描述的是</w:t>
      </w:r>
      <w:r>
        <w:rPr>
          <w:rFonts w:ascii="Times New Roman" w:cs="Times New Roman" w:eastAsia="SimSun" w:hAnsi="Times New Roman"/>
          <w:b/>
          <w:bCs/>
        </w:rPr>
        <w:t xml:space="preserve">单条超边内部</w:t>
      </w:r>
      <w:r>
        <w:rPr>
          <w:rFonts w:ascii="Times New Roman" w:cs="Times New Roman" w:eastAsia="SimSun" w:hAnsi="Times New Roman"/>
        </w:rPr>
        <w:t xml:space="preserve">尾集的成对投影，而"重叠"在文献中一律指</w:t>
      </w:r>
      <w:r>
        <w:rPr>
          <w:rFonts w:ascii="Times New Roman" w:cs="Times New Roman" w:eastAsia="SimSun" w:hAnsi="Times New Roman"/>
          <w:b/>
          <w:bCs/>
        </w:rPr>
        <w:t xml:space="preserve">两条超边之间</w:t>
      </w:r>
      <w:r>
        <w:rPr>
          <w:rFonts w:ascii="Times New Roman" w:cs="Times New Roman" w:eastAsia="SimSun" w:hAnsi="Times New Roman"/>
        </w:rPr>
        <w:t xml:space="preserve">共享节点的程度 [malizia2025overlap, lamataotin2025matrix]。用同一个词指不同的对象，审稿人第一轮就会要求澄清。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它需要一个不存在的成对底图。</w:t>
      </w:r>
      <w:r>
        <w:rPr>
          <w:rFonts w:ascii="Times New Roman" w:cs="Times New Roman" w:eastAsia="SimSun" w:hAnsi="Times New Roman"/>
        </w:rPr>
        <w:t xml:space="preserve"> "尾集内部两两节点间的有向关系"预设了节点之间已有成对有向边；但在纯超图模型里没有这样的底图，必须先选一个投影规则（clique 展开？star 展开？），而不同投影会给出不同的 α，结论随之改变。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它没有解析入口。</w:t>
      </w:r>
      <w:r>
        <w:rPr>
          <w:rFonts w:ascii="Times New Roman" w:cs="Times New Roman" w:eastAsia="SimSun" w:hAnsi="Times New Roman"/>
        </w:rPr>
        <w:t xml:space="preserve"> 正因为它不是超边间的量，它不会出现在任何自洽方程的分支结构里，因此无法进入 PGF 或房室闭合——这正是风险 2.2 记录的困难。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下面给出的定义把 α 重新安置成</w:t>
      </w:r>
      <w:r>
        <w:rPr>
          <w:rFonts w:ascii="Times New Roman" w:cs="Times New Roman" w:eastAsia="SimSun" w:hAnsi="Times New Roman"/>
          <w:b/>
          <w:bCs/>
        </w:rPr>
        <w:t xml:space="preserve">超边之间的、有向分解的重叠</w:t>
      </w:r>
      <w:r>
        <w:rPr>
          <w:rFonts w:ascii="Times New Roman" w:cs="Times New Roman" w:eastAsia="SimSun" w:hAnsi="Times New Roman"/>
        </w:rPr>
        <w:t xml:space="preserve">。它同时满足三个要求：无向极限下</w:t>
      </w:r>
      <w:r>
        <w:rPr>
          <w:rFonts w:ascii="Times New Roman" w:cs="Times New Roman" w:eastAsia="SimSun" w:hAnsi="Times New Roman"/>
          <w:b/>
          <w:bCs/>
        </w:rPr>
        <w:t xml:space="preserve">精确退化</w:t>
      </w:r>
      <w:r>
        <w:rPr>
          <w:rFonts w:ascii="Times New Roman" w:cs="Times New Roman" w:eastAsia="SimSun" w:hAnsi="Times New Roman"/>
        </w:rPr>
        <w:t xml:space="preserve">为顶刊现行定义、在保度约束下</w:t>
      </w:r>
      <w:r>
        <w:rPr>
          <w:rFonts w:ascii="Times New Roman" w:cs="Times New Roman" w:eastAsia="SimSun" w:hAnsi="Times New Roman"/>
          <w:b/>
          <w:bCs/>
        </w:rPr>
        <w:t xml:space="preserve">确实可调</w:t>
      </w:r>
      <w:r>
        <w:rPr>
          <w:rFonts w:ascii="Times New Roman" w:cs="Times New Roman" w:eastAsia="SimSun" w:hAnsi="Times New Roman"/>
        </w:rPr>
        <w:t xml:space="preserve">、并且有</w:t>
      </w:r>
      <w:r>
        <w:rPr>
          <w:rFonts w:ascii="Times New Roman" w:cs="Times New Roman" w:eastAsia="SimSun" w:hAnsi="Times New Roman"/>
          <w:b/>
          <w:bCs/>
        </w:rPr>
        <w:t xml:space="preserve">明确的解析入口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定义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1.1 重叠列联矩阵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设有向超图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</w:t>
      </w:r>
      <w:r>
        <w:rPr>
          <w:rFonts w:ascii="Times New Roman" w:cs="Times New Roman" w:eastAsia="SimSun" w:hAnsi="Times New Roman"/>
          <w:b/>
          <w:bCs/>
        </w:rPr>
        <w:t xml:space="preserve">有序</w:t>
      </w:r>
      <w:r>
        <w:rPr>
          <w:rFonts w:ascii="Times New Roman" w:cs="Times New Roman" w:eastAsia="SimSun" w:hAnsi="Times New Roman"/>
        </w:rPr>
        <w:t xml:space="preserve">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重叠列联矩阵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;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], 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同理。四个分量各有独立的动力学含义：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分量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结构含义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动力学含义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TT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共发</w:t>
            </w:r>
            <w:r>
              <w:rPr>
                <w:rFonts w:ascii="Times New Roman" w:cs="Times New Roman" w:eastAsia="SimSun" w:hAnsi="Times New Roman"/>
              </w:rPr>
              <w:t xml:space="preserve">（co-sending）：一个节点同时是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的施压方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源冗余；同一感染源向两个不同头集扇出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HH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共收</w:t>
            </w:r>
            <w:r>
              <w:rPr>
                <w:rFonts w:ascii="Times New Roman" w:cs="Times New Roman" w:eastAsia="SimSun" w:hAnsi="Times New Roman"/>
              </w:rPr>
              <w:t xml:space="preserve">（co-receiving）：一个节点同时是两条超边的受压方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剂量汇聚；群体阈值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Times New Roman" w:cs="Times New Roman" w:eastAsia="SimSun" w:hAnsi="Times New Roman"/>
              </w:rPr>
              <w:t xml:space="preserve"> 在此累积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跨超边</w:t>
            </w:r>
            <w:r>
              <w:rPr>
                <w:rFonts w:ascii="Times New Roman" w:cs="Times New Roman" w:eastAsia="SimSun" w:hAnsi="Times New Roman"/>
              </w:rPr>
              <w:t xml:space="preserve">的压力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HT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串联正向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的头集落入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的尾集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传播链本身：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激活后经该节点驱动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TH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串联反向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的头集落入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的尾集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反向链；与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HT</w:t>
            </w:r>
            <w:r>
              <w:rPr>
                <w:rFonts w:ascii="Times New Roman" w:cs="Times New Roman" w:eastAsia="SimSun" w:hAnsi="Times New Roman"/>
              </w:rPr>
              <w:t xml:space="preserve"> 同时非零即为高阶互惠 [lotito2026directed]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"共发/共收"这组词不是我们自造的：Lotito 等在有向超图的微观组织框架里正是用 </w:t>
      </w:r>
      <w:r>
        <w:rPr>
          <w:rFonts w:ascii="Times New Roman" w:cs="Times New Roman" w:eastAsia="SimSun" w:hAnsi="Times New Roman"/>
          <w:b/>
          <w:bCs/>
        </w:rPr>
        <w:t xml:space="preserve">co-sending / co-receiving</w:t>
      </w:r>
      <w:r>
        <w:rPr>
          <w:rFonts w:ascii="Times New Roman" w:cs="Times New Roman" w:eastAsia="SimSun" w:hAnsi="Times New Roman"/>
        </w:rPr>
        <w:t xml:space="preserve"> 来刻画源集与靶集的重叠 [lotito2026directed]。本定义与该词汇表一致。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1.2 归一化与阶分辨聚合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记超边的</w:t>
      </w:r>
      <w:r>
        <w:rPr>
          <w:rFonts w:ascii="Times New Roman" w:cs="Times New Roman" w:eastAsia="SimSun" w:hAnsi="Times New Roman"/>
          <w:b/>
          <w:bCs/>
        </w:rPr>
        <w:t xml:space="preserve">阶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有向重叠张量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 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即：</w:t>
      </w:r>
      <w:r>
        <w:rPr>
          <w:rFonts w:ascii="Times New Roman" w:cs="Times New Roman" w:eastAsia="SimSun" w:hAnsi="Times New Roman"/>
          <w:b/>
          <w:bCs/>
        </w:rPr>
        <w:t xml:space="preserve">在确实发生重叠的超边对上，重叠的平均深度</w:t>
      </w:r>
      <w:r>
        <w:rPr>
          <w:rFonts w:ascii="Times New Roman" w:cs="Times New Roman" w:eastAsia="SimSun" w:hAnsi="Times New Roman"/>
        </w:rPr>
        <w:t xml:space="preserve">。条件化（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）不是修饰，是必需的——理由见 §3。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阶对角块 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阶内重叠</w:t>
      </w:r>
      <w:r>
        <w:rPr>
          <w:rFonts w:ascii="Times New Roman" w:cs="Times New Roman" w:eastAsia="SimSun" w:hAnsi="Times New Roman"/>
        </w:rPr>
        <w:t xml:space="preserve">（intra-order），非对角块是</w:t>
      </w:r>
      <w:r>
        <w:rPr>
          <w:rFonts w:ascii="Times New Roman" w:cs="Times New Roman" w:eastAsia="SimSun" w:hAnsi="Times New Roman"/>
          <w:b/>
          <w:bCs/>
        </w:rPr>
        <w:t xml:space="preserve">阶间重叠</w:t>
      </w:r>
      <w:r>
        <w:rPr>
          <w:rFonts w:ascii="Times New Roman" w:cs="Times New Roman" w:eastAsia="SimSun" w:hAnsi="Times New Roman"/>
        </w:rPr>
        <w:t xml:space="preserve">（inter-order）。这一对角/非对角的划分与 Lamata-Otín 等的超边重叠矩阵完全一致 [lamataotin2025matrix]；本定义在其每个矩阵元上再展开出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的方向通道，因此是</w:t>
      </w:r>
      <w:r>
        <w:rPr>
          <w:rFonts w:ascii="Times New Roman" w:cs="Times New Roman" w:eastAsia="SimSun" w:hAnsi="Times New Roman"/>
          <w:b/>
          <w:bCs/>
        </w:rPr>
        <w:t xml:space="preserve">张量</w:t>
      </w:r>
      <w:r>
        <w:rPr>
          <w:rFonts w:ascii="Times New Roman" w:cs="Times New Roman" w:eastAsia="SimSun" w:hAnsi="Times New Roman"/>
        </w:rPr>
        <w:t xml:space="preserve">而非矩阵。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术语提醒：大纲把 α 叫作"阶间重叠"。在上式里，"阶间"专指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σ≠σ'</w:t>
      </w:r>
      <w:r>
        <w:rPr>
          <w:rFonts w:ascii="Times New Roman" w:cs="Times New Roman" w:eastAsia="SimSun" w:hAnsi="Times New Roman"/>
          <w:color w:val="3A4A5A"/>
        </w:rPr>
        <w:t xml:space="preserve">。若主线采用同质阶数（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|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)|=τ</w:t>
      </w:r>
      <w:r>
        <w:rPr>
          <w:rFonts w:ascii="Times New Roman" w:cs="Times New Roman" w:eastAsia="SimSun" w:hAnsi="Times New Roman"/>
          <w:color w:val="3A4A5A"/>
        </w:rPr>
        <w:t xml:space="preserve">、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|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)|=η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Times New Roman" w:cs="Times New Roman" w:eastAsia="SimSun" w:hAnsi="Times New Roman"/>
          <w:color w:val="3A4A5A"/>
        </w:rPr>
        <w:t xml:space="preserve">），则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只剩阶内块</w:t>
      </w:r>
      <w:r>
        <w:rPr>
          <w:rFonts w:ascii="Times New Roman" w:cs="Times New Roman" w:eastAsia="SimSun" w:hAnsi="Times New Roman"/>
          <w:color w:val="3A4A5A"/>
        </w:rPr>
        <w:t xml:space="preserve">，此时应改称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有向超边重叠</w:t>
      </w:r>
      <w:r>
        <w:rPr>
          <w:rFonts w:ascii="Times New Roman" w:cs="Times New Roman" w:eastAsia="SimSun" w:hAnsi="Times New Roman"/>
          <w:color w:val="3A4A5A"/>
        </w:rPr>
        <w:t xml:space="preserve">，不要再写"阶间"，否则与 [lamataotin2025matrix, malizia2025gbcm] 的术语冲突。异质阶数留到附录时"阶间"才重新有意义。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1.3 方向对称性分解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：对所有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交换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)↔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。它是空间上的对合（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id</w:t>
      </w:r>
      <w:r>
        <w:rPr>
          <w:rFonts w:ascii="Times New Roman" w:cs="Times New Roman" w:eastAsia="SimSun" w:hAnsi="Times New Roman"/>
        </w:rPr>
        <w:t xml:space="preserve">），四个通道在其下的变换为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据此把四通道重组为</w:t>
      </w:r>
      <w:r>
        <w:rPr>
          <w:rFonts w:ascii="Times New Roman" w:cs="Times New Roman" w:eastAsia="SimSun" w:hAnsi="Times New Roman"/>
          <w:b/>
          <w:bCs/>
        </w:rPr>
        <w:t xml:space="preserve">宇称本征量</w:t>
      </w:r>
      <w:r>
        <w:rPr>
          <w:rFonts w:ascii="Times New Roman" w:cs="Times New Roman" w:eastAsia="SimSun" w:hAnsi="Times New Roman"/>
        </w:rPr>
        <w:t xml:space="preserve">（略去阶指标）：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（串联／同向，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)⟩  （互惠／反向，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（并联，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（极性失衡，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boldsymbol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-奇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这就把大纲的两个记号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/α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落到了确定的可计算式上，同时暴露出</w:t>
      </w:r>
      <w:r>
        <w:rPr>
          <w:rFonts w:ascii="Times New Roman" w:cs="Times New Roman" w:eastAsia="SimSun" w:hAnsi="Times New Roman"/>
          <w:b/>
          <w:bCs/>
        </w:rPr>
        <w:t xml:space="preserve">大纲遗漏的两个自由度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时</w:t>
      </w:r>
      <w:r>
        <w:rPr>
          <w:rFonts w:ascii="Times New Roman" w:cs="Times New Roman" w:eastAsia="SimSun" w:hAnsi="Times New Roman"/>
          <w:b/>
          <w:bCs/>
        </w:rPr>
        <w:t xml:space="preserve">固定住</w:t>
      </w:r>
      <w:r>
        <w:rPr>
          <w:rFonts w:ascii="Times New Roman" w:cs="Times New Roman" w:eastAsia="SimSun" w:hAnsi="Times New Roman"/>
        </w:rPr>
        <w:t xml:space="preserve">，否则扫描把三种效应混在一起；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则是下一节的主角。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三条必须写进正文的性质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1（退化）：无向极限下精确回收顶刊定义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bar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bar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bar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因此通道求和后的张量</w:t>
      </w:r>
      <w:r>
        <w:rPr>
          <w:rFonts w:ascii="Times New Roman" w:cs="Times New Roman" w:eastAsia="SimSun" w:hAnsi="Times New Roman"/>
          <w:b/>
          <w:bCs/>
        </w:rPr>
        <w:t xml:space="preserve">逐超边对地</w:t>
      </w:r>
      <w:r>
        <w:rPr>
          <w:rFonts w:ascii="Times New Roman" w:cs="Times New Roman" w:eastAsia="SimSun" w:hAnsi="Times New Roman"/>
        </w:rPr>
        <w:t xml:space="preserve">等于 [malizia2025overlap, lamataotin2025matrix] 的无向超边重叠。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这条性质是 I.2 中"α 是 refinement 而非另起炉灶"这一增量声明的全部依据。</w:t>
      </w:r>
      <w:r>
        <w:rPr>
          <w:rFonts w:ascii="Times New Roman" w:cs="Times New Roman" w:eastAsia="SimSun" w:hAnsi="Times New Roman"/>
          <w:color w:val="3A4A5A"/>
        </w:rPr>
        <w:t xml:space="preserve"> 没有它，审稿人有权认为我们换了个定义使自己的结论无法与已有文献对照。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2（宇称）：方向对称性破缺的必要条件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设结构系综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SIR 终态爆发规模。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命题.</w:t>
      </w:r>
      <w:r>
        <w:rPr>
          <w:rFonts w:ascii="Times New Roman" w:cs="Times New Roman" w:eastAsia="SimSun" w:hAnsi="Times New Roman"/>
        </w:rPr>
        <w:t xml:space="preserve"> 若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下不变，即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P</w:t>
      </w:r>
      <w:r>
        <w:rPr>
          <w:rFonts w:ascii="Times New Roman" w:cs="Times New Roman" w:eastAsia="SimSun" w:hAnsi="Times New Roman"/>
        </w:rPr>
        <w:t xml:space="preserve"> 在方向翻转下不变；因而</w:t>
      </w:r>
      <w:r>
        <w:rPr>
          <w:rFonts w:ascii="Times New Roman" w:cs="Times New Roman" w:eastAsia="SimSun" w:hAnsi="Times New Roman"/>
          <w:b/>
          <w:bCs/>
        </w:rPr>
        <w:t xml:space="preserve">系综层面的方向对称性破缺要求至少一个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-奇不变量非零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i/>
          <w:i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是有向超图空间上的可测对合。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RP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P</w:t>
      </w:r>
      <w:r>
        <w:rPr>
          <w:rFonts w:ascii="Times New Roman" w:cs="Times New Roman" w:eastAsia="SimSun" w:hAnsi="Times New Roman"/>
        </w:rPr>
        <w:t xml:space="preserve">，第二个等号用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-不变性并对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↦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换元。∎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把系综的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-奇不变量列全，就得到一张</w:t>
      </w:r>
      <w:r>
        <w:rPr>
          <w:rFonts w:ascii="Times New Roman" w:cs="Times New Roman" w:eastAsia="SimSun" w:hAnsi="Times New Roman"/>
          <w:b/>
          <w:bCs/>
        </w:rPr>
        <w:t xml:space="preserve">破缺来源清单</w:t>
      </w:r>
      <w:r>
        <w:rPr>
          <w:rFonts w:ascii="Times New Roman" w:cs="Times New Roman" w:eastAsia="SimSun" w:hAnsi="Times New Roman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-奇不变量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τ-η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尾集与头集基数不等。注意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=τ|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=η|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，故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τ≠η</w:t>
            </w:r>
            <w:r>
              <w:rPr>
                <w:rFonts w:ascii="Times New Roman" w:cs="Times New Roman" w:eastAsia="SimSun" w:hAnsi="Times New Roman"/>
              </w:rPr>
              <w:t xml:space="preserve"> 自动使两个平均度不等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)-</w:t>
            </w: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联合度分布关于对角线的不对称部分（如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⟩-⟨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Δα=1/2(α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TT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HH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共发重叠与共收重叠之差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一个立即可用的推论：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是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-偶的，因此它本身不能产生方向对称性破缺。</w:t>
      </w:r>
      <w:r>
        <w:rPr>
          <w:rFonts w:ascii="Times New Roman" w:cs="Times New Roman" w:eastAsia="SimSun" w:hAnsi="Times New Roman"/>
        </w:rPr>
        <w:t xml:space="preserve"> 理由：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互换，而 Pearson 相关系数对两个变量对称，故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这个推论直接改写大纲 V.5 与 C4 的做法：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在 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</w:rPr>
        <w:t xml:space="preserve">τ=η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、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P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 关于对角线对称的设定下扫描 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，系综平均的爆发规模必然对称</w:t>
      </w:r>
      <w:r>
        <w:rPr>
          <w:rFonts w:ascii="Times New Roman" w:cs="Times New Roman" w:eastAsia="SimSun" w:hAnsi="Times New Roman"/>
          <w:color w:val="3A4A5A"/>
        </w:rPr>
        <w:t xml:space="preserve">，观测到的任何差异只是有限尺寸涨落。破缺实验必须显式打开一个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-奇量——最干净的做法是固定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τ=η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P</w:t>
      </w:r>
      <w:r>
        <w:rPr>
          <w:rFonts w:ascii="Times New Roman" w:cs="Times New Roman" w:eastAsia="SimSun" w:hAnsi="Times New Roman"/>
          <w:color w:val="3A4A5A"/>
        </w:rPr>
        <w:t xml:space="preserve"> 的对称性，只扫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Δα</w:t>
      </w:r>
      <w:r>
        <w:rPr>
          <w:rFonts w:ascii="Times New Roman" w:cs="Times New Roman" w:eastAsia="SimSun" w:hAnsi="Times New Roman"/>
          <w:color w:val="3A4A5A"/>
        </w:rPr>
        <w:t xml:space="preserve">，从而把破缺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单独归因</w:t>
      </w:r>
      <w:r>
        <w:rPr>
          <w:rFonts w:ascii="Times New Roman" w:cs="Times New Roman" w:eastAsia="SimSun" w:hAnsi="Times New Roman"/>
          <w:color w:val="3A4A5A"/>
        </w:rPr>
        <w:t xml:space="preserve">到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Δα</w:t>
      </w:r>
      <w:r>
        <w:rPr>
          <w:rFonts w:ascii="Times New Roman" w:cs="Times New Roman" w:eastAsia="SimSun" w:hAnsi="Times New Roman"/>
          <w:color w:val="3A4A5A"/>
        </w:rPr>
        <w:t xml:space="preserve">。这把大纲里"严格证明为拉伸目标"的部分变成了一个可证的必要条件加一个干净的数值设计。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3（可调性）：为什么必须条件化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求和规则.</w:t>
      </w:r>
      <w:r>
        <w:rPr>
          <w:rFonts w:ascii="Times New Roman" w:cs="Times New Roman" w:eastAsia="SimSun" w:hAnsi="Times New Roman"/>
        </w:rPr>
        <w:t xml:space="preserve"> 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，把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对所有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求和，按共享节点计数得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右端</w:t>
      </w:r>
      <w:r>
        <w:rPr>
          <w:rFonts w:ascii="Times New Roman" w:cs="Times New Roman" w:eastAsia="SimSun" w:hAnsi="Times New Roman"/>
          <w:b/>
          <w:bCs/>
        </w:rPr>
        <w:t xml:space="preserve">只依赖度序列</w:t>
      </w:r>
      <w:r>
        <w:rPr>
          <w:rFonts w:ascii="Times New Roman" w:cs="Times New Roman" w:eastAsia="SimSun" w:hAnsi="Times New Roman"/>
        </w:rPr>
        <w:t xml:space="preserve">。所以：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在严格保度的约束下，四个通道的重叠总量是常数，不可调。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这是一条硬约束，而大纲 V.4（"在保度前提下调节 α"）默认了 α 可调却从未验证。若把 α 定义为无条件均值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，则它正比于上述固定总量除以超边对数，</w:t>
      </w:r>
      <w:r>
        <w:rPr>
          <w:rFonts w:ascii="Times New Roman" w:cs="Times New Roman" w:eastAsia="SimSun" w:hAnsi="Times New Roman"/>
          <w:b/>
          <w:bCs/>
        </w:rPr>
        <w:t xml:space="preserve">恒为常数，扫描无从谈起</w:t>
      </w:r>
      <w:r>
        <w:rPr>
          <w:rFonts w:ascii="Times New Roman" w:cs="Times New Roman" w:eastAsia="SimSun" w:hAnsi="Times New Roman"/>
        </w:rPr>
        <w:t xml:space="preserve">——工具 2 会在实现阶段撞上这堵墙。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条件化解决了这个问题：固定总量下，仍可自由改变重叠的</w:t>
      </w:r>
      <w:r>
        <w:rPr>
          <w:rFonts w:ascii="Times New Roman" w:cs="Times New Roman" w:eastAsia="SimSun" w:hAnsi="Times New Roman"/>
          <w:b/>
          <w:bCs/>
        </w:rPr>
        <w:t xml:space="preserve">堆积方式</w:t>
      </w:r>
      <w:r>
        <w:rPr>
          <w:rFonts w:ascii="Times New Roman" w:cs="Times New Roman" w:eastAsia="SimSun" w:hAnsi="Times New Roman"/>
        </w:rPr>
        <w:t xml:space="preserve">——是让少数超边对深度共享，还是让共享摊薄到大量超边对上。形式化地，记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=#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 为发生重叠的对数，则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∝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(固定总量)/(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调 α 等价于调 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在保度纤维内确实可变。这同时给出扫描的物理图像与实现路径：</w:t>
      </w:r>
      <w:r>
        <w:rPr>
          <w:rFonts w:ascii="Times New Roman" w:cs="Times New Roman" w:eastAsia="SimSun" w:hAnsi="Times New Roman"/>
          <w:i/>
          <w:iCs/>
        </w:rPr>
        <w:t xml:space="preserve">降低</w:t>
      </w:r>
      <w:r>
        <w:rPr>
          <w:rFonts w:ascii="Times New Roman" w:cs="Times New Roman" w:eastAsia="SimSun" w:hAnsi="Times New Roman"/>
        </w:rPr>
        <w:t xml:space="preserve"> α = 把重叠摊开到更多超边对；</w:t>
      </w:r>
      <w:r>
        <w:rPr>
          <w:rFonts w:ascii="Times New Roman" w:cs="Times New Roman" w:eastAsia="SimSun" w:hAnsi="Times New Roman"/>
          <w:i/>
          <w:iCs/>
        </w:rPr>
        <w:t xml:space="preserve">提高</w:t>
      </w:r>
      <w:r>
        <w:rPr>
          <w:rFonts w:ascii="Times New Roman" w:cs="Times New Roman" w:eastAsia="SimSun" w:hAnsi="Times New Roman"/>
        </w:rPr>
        <w:t xml:space="preserve"> α = 把重叠集中到更少的对上。这与 Malizia 等"低阶内重叠 → 爆炸式转变"的结论在方向上可直接对照 [malizia2025overlap]。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解析入口（风险 2.2）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重叠破坏局部树状假设，节点级 PGF 因而不闭合。可行路径是把自洽方程从</w:t>
      </w:r>
      <w:r>
        <w:rPr>
          <w:rFonts w:ascii="Times New Roman" w:cs="Times New Roman" w:eastAsia="SimSun" w:hAnsi="Times New Roman"/>
          <w:b/>
          <w:bCs/>
        </w:rPr>
        <w:t xml:space="preserve">节点级抬到超边级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群体级房室闭合。</w:t>
      </w:r>
      <w:r>
        <w:rPr>
          <w:rFonts w:ascii="Times New Roman" w:cs="Times New Roman" w:eastAsia="SimSun" w:hAnsi="Times New Roman"/>
        </w:rPr>
        <w:t xml:space="preserve"> Malizia 等的 group-based compartmental modeling（GBCM）正是为"跨阶相关"设计的均场框架，能解析地分离各阶贡献 [malizia2025gbcm]。把它有向化：状态变量取"超边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尚未被激活"的概率，转移项按 §1.1 的四个通道分列。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四通道转移算子。</w:t>
      </w:r>
      <w:r>
        <w:rPr>
          <w:rFonts w:ascii="Times New Roman" w:cs="Times New Roman" w:eastAsia="SimSun" w:hAnsi="Times New Roman"/>
        </w:rPr>
        <w:t xml:space="preserve"> 超边级自洽方程的线性化给出分块转移算子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;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], 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的权重由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给出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爆发阈值即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（谱半径）。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于是</w:t>
      </w:r>
      <w:r>
        <w:rPr>
          <w:rFonts w:ascii="Times New Roman" w:cs="Times New Roman" w:eastAsia="SimSun" w:hAnsi="Times New Roman"/>
          <w:b/>
          <w:bCs/>
        </w:rPr>
        <w:t xml:space="preserve">显式</w:t>
      </w:r>
      <w:r>
        <w:rPr>
          <w:rFonts w:ascii="Times New Roman" w:cs="Times New Roman" w:eastAsia="SimSun" w:hAnsi="Times New Roman"/>
        </w:rPr>
        <w:t xml:space="preserve">进入阈值条件，风险 2.2 关闭。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宇称的算子表述.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上的作用是反对角共轭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 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为通道交换）。</w:t>
      </w:r>
      <w:r>
        <w:rPr>
          <w:rFonts w:ascii="Cambria Math" w:eastAsia="SimSun" w:hAnsi="Cambria Math"/>
          <w:i w:val="false"/>
          <w:iCs w:val="false"/>
        </w:rPr>
        <w:t xml:space="preserve">Δα=0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在该共轭下不变，谱不变，阈值对称——与性质 2 一致。这也正是附录 D"张量后向算子"所需的算子语言。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诚实标注：</w:t>
      </w:r>
      <w:r>
        <w:rPr>
          <w:rFonts w:ascii="Times New Roman" w:cs="Times New Roman" w:eastAsia="SimSun" w:hAnsi="Times New Roman"/>
        </w:rPr>
        <w:t xml:space="preserve"> 第 2 步中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的权重需要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之外的信息（重叠对的度分布），因此严格来说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闭合的一阶控制量</w:t>
      </w:r>
      <w:r>
        <w:rPr>
          <w:rFonts w:ascii="Times New Roman" w:cs="Times New Roman" w:eastAsia="SimSun" w:hAnsi="Times New Roman"/>
        </w:rPr>
        <w:t xml:space="preserve">而非完备描述；GBCM 在无向情形也是这样的近似 [malizia2025gbcm]。正文应写成"至一阶闭合"，不要写成精确。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对下游各节的影响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位置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需要的改动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II.2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用 §1 替换现有描述；同质阶数下术语从"阶间重叠"改为"有向超边重叠"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V.4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扫描目标从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的均值改为条件均值；实现上以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为调节手柄；必须同时固定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V.5 / C4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按性质 2 重新设计：固定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τ=η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Times New Roman" w:cs="Times New Roman" w:eastAsia="SimSun" w:hAnsi="Times New Roman"/>
              </w:rPr>
              <w:t xml:space="preserve"> 的对角对称性，只扫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，把破缺单独归因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IV.2–IV.3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阈值条件写成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显式出现在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 中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附录 D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后向算子即 §3 的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；宇称由反对角共轭给出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I.2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增量声明依据性质 1（退化）与性质 2（宇称），二者都可证</w:t>
            </w:r>
          </w:p>
        </w:tc>
      </w:tr>
    </w:tbl>
    <w:p>
      <w:pPr>
        <w:spacing w:after="16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仍需拍板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归一化的分母。</w:t>
      </w:r>
      <w:r>
        <w:rPr>
          <w:rFonts w:ascii="Times New Roman" w:cs="Times New Roman" w:eastAsia="SimSun" w:hAnsi="Times New Roman"/>
        </w:rPr>
        <w:t xml:space="preserve"> 上文取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(|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。同质阶数下这就是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，无歧义；异质阶数下另有取 </w:t>
      </w: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||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（余弦型）的选项，两者在异质性强时结论可能不同。建议主线用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Times New Roman" w:cs="Times New Roman" w:eastAsia="SimSun" w:hAnsi="Times New Roman"/>
        </w:rPr>
        <w:t xml:space="preserve">，附录做敏感性检查。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 的形式。</w:t>
      </w:r>
      <w:r>
        <w:rPr>
          <w:rFonts w:ascii="Times New Roman" w:cs="Times New Roman" w:eastAsia="SimSun" w:hAnsi="Times New Roman"/>
        </w:rPr>
        <w:t xml:space="preserve"> 上文取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)⟩</w:t>
      </w:r>
      <w:r>
        <w:rPr>
          <w:rFonts w:ascii="Times New Roman" w:cs="Times New Roman" w:eastAsia="SimSun" w:hAnsi="Times New Roman"/>
        </w:rPr>
        <w:t xml:space="preserve">。另一可选形式是 Lotito 等互惠性定义下的 exact/strong/weak 三档 [lotito2026directed]。若第 VII 部分要与真实数据对照，建议直接采用其 strong 定义以便复用其测量口径。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Istvan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2026-08-07T15:17:00.608Z</dcterms:created>
  <dcterms:modified xsi:type="dcterms:W3CDTF">2026-08-07T15:17:00.609Z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