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本文分为两部分。第 1 节确立模型：给出多重超图的定义与记号、跨层共享状态的 SIR 动力学，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并分离出两个可独立调节的层间结构自由度。第 2 节建立理论：从空腔构造出发得到与系统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规模无关的闭方程组，给出爆发阈值的矩阵形式，并与度均场逐项比较。第 3 节列出为支撑这些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结论所需的计算及其预期结果，第 4 节说明各结果分别支撑哪一条论断，第 5 节汇总工作进度。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模型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设节点集为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。节点的层度定义为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；由逐边计数得握手关系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。引入两个生成函数：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(1.1)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(1.2)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描述节点侧，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描述沿层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的一个成员槽到达某节点时该节点的余度分布，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指数中的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即余度相减：来路那个群体不再计入。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由此确立本文的第一个结构输入——</w:t>
      </w: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。层间的一切效应最终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的交叉项（即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一族）进入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动力学，不存在第三条通道；这一事实在 3.2 节将转化为一条可证伪的预言。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须注意余度相减在本模型中存在，而在有向超图中不存在：有向情形下尾侧偏置与入度计数是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两个不同的量，故无相减；此处成员槽与计数是同一个量，相减因而恢复。由有向工作移植公式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时，这一处必须相应修改。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每个节点的状态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，这是"个体在任一渠道被感染即在所有渠道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中均为感染态"的形式化表述。记层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当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时群体处于激活态，向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时群体静默。感染者以速率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归一时间后记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，其中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为渠道权重（模型参数），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由此得到一个单控制参数的连续时间 Markov 过程，可用 Gillespie 算法精确抽样；后文所有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"理论与真值"的比较均以该抽样为真值。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本模型与有向超图的关键差异在于：无向群体中每个成员既是传染源也是传染靶。一个成员被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感染后群体随即激活，它可以感染同群其他成员，而后者被感染又</w:t>
      </w:r>
      <w:r>
        <w:rPr>
          <w:rFonts w:ascii="Times New Roman" w:cs="Times New Roman" w:eastAsia="SimSun" w:hAnsi="Times New Roman"/>
          <w:b/>
          <w:bCs/>
        </w:rPr>
        <w:t xml:space="preserve">延长</w:t>
      </w:r>
      <w:r>
        <w:rPr>
          <w:rFonts w:ascii="Times New Roman" w:cs="Times New Roman" w:eastAsia="SimSun" w:hAnsi="Times New Roman"/>
        </w:rPr>
        <w:t xml:space="preserve">群体的激活时长，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从而进一步提高剩余成员被感染的概率。这一"群内级联"在有向超图中不存在——尾集与头集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不相交，头成员被感染并不延长激活。本模型的全部新内容均源于此。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两个层间结构量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定义两个可独立调节、且作用于生成流程不同环节的结构量。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刻画在一个渠道活跃的个体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是否同时在另一渠道活跃。它由联合度序列决定，与群体如何连接无关，因此只能在构造度序列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的阶段调节。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刻画同一群人是否同时构成两层的群体。它在度序列固定之后，才由群体重排调节。二者因而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互不干扰，对应 3.2 节两组独立的扫描。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在推导之前须先测定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在保联合度约束下的可动范围。在有向超图的相应工作中，同类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量在保度双边交换下仅能移动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，该区间之窄使仿真无法分辨其效应，最终必须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另行构造定向重连工具方能检验。本模型应先完成这一测定，再决定是否将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列为主线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结构参数。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可约性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1（可约性）.</w:t>
      </w:r>
      <w:r>
        <w:rPr>
          <w:rFonts w:ascii="Times New Roman" w:cs="Times New Roman" w:eastAsia="SimSun" w:hAnsi="Times New Roman"/>
        </w:rPr>
        <w:t xml:space="preserve"> 设节点状态跨层共享，且各层群体按 (1.3) 独立传递。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̃</w:t>
      </w:r>
      <w:r>
        <w:rPr>
          <w:rFonts w:ascii="Times New Roman" w:cs="Times New Roman" w:eastAsia="SimSun" w:hAnsi="Times New Roman"/>
        </w:rPr>
        <w:t xml:space="preserve"> 为把全部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并成一个</w:t>
      </w:r>
      <w:r>
        <w:rPr>
          <w:rFonts w:ascii="Times New Roman" w:cs="Times New Roman" w:eastAsia="SimSun" w:hAnsi="Times New Roman"/>
          <w:b/>
          <w:bCs/>
        </w:rPr>
        <w:t xml:space="preserve">多重集</w:t>
      </w:r>
      <w:r>
        <w:rPr>
          <w:rFonts w:ascii="Times New Roman" w:cs="Times New Roman" w:eastAsia="SimSun" w:hAnsi="Times New Roman"/>
        </w:rPr>
        <w:t xml:space="preserve">（两层可以含有节点集相同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的群体，合并时必须保留重数）、每条超边保留其层标签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（从而保留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）所得的单层带型超图。则多重超图上的过程与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(1.3)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有两项推论。其一，多层结构带来的并非新的动力学，而是新的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联合层度分布（含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）与层间群体重叠。单层带型超图的位形模型默认各型度相互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独立，而真实的多层结构并不独立，恰是这一项移动阈值。其二，任何单层带型超图的理论都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自动求解本模型，故第 2 节的闭合可在单层语言下推导、在多层语言下解读。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该命题宜置于正文显著位置。可约性是审稿人必然会自行注意到的性质，主动说明可使论文的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贡献定位更为准确；命题 1 因而不是模型的缺陷，而是界定贡献范围的工具。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的失效边界给出 3.3 节的入口：若节点将跨层暴露合并之后再判定阈值，即风险率取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而非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，则生成元不再可按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超边分解，命题 1 失效，渠道之间产生真正的动力学耦合。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理论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 三个仓室层级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全文的定量比较固定在下列三个层级之间。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忽略的关联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群体之间的相关（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固定这一坐标系之后，"闭合相对均场的改进"成为结构性的陈述，而非散落各处的零星比较。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局域树状.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成员的外部暴露相互独立且同分布.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(H1)），故它们经由自身其他群体被感染的过程相互独立；又由位形模型的交换性，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(H2′) 弱于有向工作中的 (H2)，此处口径必须相应修改。(H2) 断言的是成员之间完全不相互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作用；本模型中成员之间通过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本身强烈相互作用（即群内级联），独立性只对</w:t>
      </w:r>
      <w:r>
        <w:rPr>
          <w:rFonts w:ascii="Times New Roman" w:cs="Times New Roman" w:eastAsia="SimSun" w:hAnsi="Times New Roman"/>
          <w:b/>
          <w:bCs/>
        </w:rPr>
        <w:t xml:space="preserve">外部</w:t>
      </w:r>
      <w:r>
        <w:rPr>
          <w:rFonts w:ascii="Times New Roman" w:cs="Times New Roman" w:eastAsia="SimSun" w:hAnsi="Times New Roman"/>
        </w:rPr>
        <w:t xml:space="preserve">暴露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成立。群内耦合并未被忽略，而是被下节的计数状态完整吸收。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外的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。由于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恒为易感，它不计入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群体的激活只取决于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(H2′)，一个成员经由其他群体到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，其瞬时外部风险率因而是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一个易感成员的总感染率为外部与群内之和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将概率移出"未传递"类。据此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为其未被吸收部分的子概率。对 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(2.4) 自洽。节点侧由 (2.2)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条件取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 维，</w:t>
      </w:r>
      <w:r>
        <w:rPr>
          <w:rFonts w:ascii="Times New Roman" w:cs="Times New Roman" w:eastAsia="SimSun" w:hAnsi="Times New Roman"/>
          <w:b/>
          <w:bCs/>
        </w:rPr>
        <w:t xml:space="preserve">与系统规模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18 个方程），积分一次即给出完整的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方程组自带两条无需仿真的自检。其一为求和规则，应严格给出 (2.6)；其二为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全体成员易感蕴含群体从未激活、因而必未传递，故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m_a-1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成立。二者均已验证：前者残差为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，达机器精度；后者残差按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收敛，与 RK4 的阶一致，说明 (2.7) 是方程组的严格推论，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 闭合的精度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2（渐近精确性）.</w:t>
      </w:r>
      <w:r>
        <w:rPr>
          <w:rFonts w:ascii="Times New Roman" w:cs="Times New Roman" w:eastAsia="SimSun" w:hAnsi="Times New Roman"/>
        </w:rPr>
        <w:t xml:space="preserve"> 在 (H1) 与 (H2′) 下，(2.2) 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(2.4)–(2.6) 给出的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论证要点.</w:t>
      </w:r>
      <w:r>
        <w:rPr>
          <w:rFonts w:ascii="Times New Roman" w:cs="Times New Roman" w:eastAsia="SimSun" w:hAnsi="Times New Roman"/>
        </w:rPr>
        <w:t xml:space="preserve"> (i) 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所属各群体的上游分支互不相交，(2.2)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成立。(ii) 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个成员的外部感染时刻相互独立且共享同一生存函数；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对独立同分布个体，其尚存活人数是以总体风险率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为速率的 Markov 计数过程，故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(2.5)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项精确。(iii) 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，且对全体易感成员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数值证据如下。取 </w:t>
      </w:r>
      <w:r>
        <w:rPr>
          <w:rFonts w:ascii="Cambria Math" w:eastAsia="SimSun" w:hAnsi="Cambria Math"/>
          <w:i w:val="false"/>
          <w:iCs w:val="false"/>
        </w:rPr>
        <w:t xml:space="preserve">λ=0.35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，每点 </w:t>
      </w:r>
      <w:r>
        <w:rPr>
          <w:rFonts w:ascii="Cambria Math" w:eastAsia="SimSun" w:hAnsi="Cambria Math"/>
          <w:i w:val="false"/>
          <w:iCs w:val="false"/>
        </w:rPr>
        <w:t xml:space="preserve">300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500</w:t>
      </w:r>
      <w:r>
        <w:rPr>
          <w:rFonts w:ascii="Times New Roman" w:cs="Times New Roman" w:eastAsia="SimSun" w:hAnsi="Times New Roman"/>
        </w:rPr>
        <w:t xml:space="preserve"> 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独立实现，闭合与精确仿真在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≤12</w:t>
      </w:r>
      <w:r>
        <w:rPr>
          <w:rFonts w:ascii="Times New Roman" w:cs="Times New Roman" w:eastAsia="SimSun" w:hAnsi="Times New Roman"/>
        </w:rPr>
        <w:t xml:space="preserve"> 上的平均偏差随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单调下降：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500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2000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4000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8000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平均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|Δ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1.84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1.23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0.89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蒙特卡洛噪声底（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0.72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0.51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偏差已落入噪声之下、不可分辨。幂律拟合给出指数 </w:t>
      </w:r>
      <w:r>
        <w:rPr>
          <w:rFonts w:ascii="Cambria Math" w:eastAsia="SimSun" w:hAnsi="Cambria Math"/>
          <w:i w:val="false"/>
          <w:iCs w:val="false"/>
        </w:rPr>
        <w:t xml:space="preserve">-0.92</w:t>
      </w:r>
      <w:r>
        <w:rPr>
          <w:rFonts w:ascii="Times New Roman" w:cs="Times New Roman" w:eastAsia="SimSun" w:hAnsi="Times New Roman"/>
        </w:rPr>
        <w:t xml:space="preserve">（子集拟合散布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-0.80</w:t>
      </w:r>
      <w:r>
        <w:rPr>
          <w:rFonts w:ascii="Times New Roman" w:cs="Times New Roman" w:eastAsia="SimSun" w:hAnsi="Times New Roman"/>
        </w:rPr>
        <w:t xml:space="preserve"> 至 </w:t>
      </w:r>
      <w:r>
        <w:rPr>
          <w:rFonts w:ascii="Cambria Math" w:eastAsia="SimSun" w:hAnsi="Cambria Math"/>
          <w:i w:val="false"/>
          <w:iCs w:val="false"/>
        </w:rPr>
        <w:t xml:space="preserve">-1.00</w:t>
      </w:r>
      <w:r>
        <w:rPr>
          <w:rFonts w:ascii="Times New Roman" w:cs="Times New Roman" w:eastAsia="SimSun" w:hAnsi="Times New Roman"/>
        </w:rPr>
        <w:t xml:space="preserve">），与短回路密度的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一致；每个测量值均含噪声贡献，因而是真实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偏差的上界。反相关度分布、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 与三层构型在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下亦均落在噪声内。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正文措辞须留有余地：数值支持不等同于证明。上述三步是论证纲要而非严格证明，宜表述为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"在 (H1)(H2′) 下我们论证并数值验证了闭合的渐近精确性，严格证明留待后续"，不宜以定理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形式陈述。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2.5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,λ,θ)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一个种子在一个群体内造成的感染数并非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，因为群体在整个群内级联期间持续激活。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元群体、初始一个感染，记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个易感"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出发此后新增感染数的期望，则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,λ,θ)=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是一个可精确计算的标量。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，级联消失，回到成对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传递概率；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时分别超出 </w:t>
      </w:r>
      <w:r>
        <w:rPr>
          <w:rFonts w:ascii="Cambria Math" w:eastAsia="SimSun" w:hAnsi="Cambria Math"/>
          <w:i w:val="false"/>
          <w:iCs w:val="false"/>
        </w:rPr>
        <w:t xml:space="preserve">11%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22%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31%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），并非可忽略的修正。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时单个种子无法激活群体，故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递推 (2.8) 与单群体直接蒙特卡洛在五组参数上一致到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 以内。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此处须交代与已有文献的关系，这是本工作新颖性风险最高的一处。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正是经典家庭模型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（households / two levels of mixing）中"户内最终规模"的期望，而下文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的结构正是该系文献中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*</w:t>
      </w:r>
      <w:r>
        <w:rPr>
          <w:rFonts w:ascii="Times New Roman" w:cs="Times New Roman" w:eastAsia="SimSun" w:hAnsi="Times New Roman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</w:rPr>
        <w:t xml:space="preserve">×</w:t>
      </w:r>
      <w:r>
        <w:rPr>
          <w:rFonts w:ascii="Times New Roman" w:cs="Times New Roman" w:eastAsia="SimSun" w:hAnsi="Times New Roman"/>
        </w:rPr>
        <w:t xml:space="preserve">（户内爆发规模）的形式；带网络结构的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重叠版本亦已有人处理。本文与之的区别仅在于三点，且必须在正文中明确写出：其一，群体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不构成划分而是任意重叠，节点在层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中属于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个群体；其二，引入多型层结构与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联合层度分布，阈值因而是矩阵谱半径而非标量；其三，采用群体阈值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的激活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规则。若不主动交代，本工作有被判定为重复的风险。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2.6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：每个新感染节点点燃它的其余各群体，每个被点燃的群体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个新感染成员，这些成员再点燃各自的其余群体。若改在节点层面朴素地统计"某个体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直接传染了谁"，群内级联的后继会被重复计入。以"感染经由哪一层传来"为型，经由层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3（阈值）.</w:t>
      </w:r>
      <w:r>
        <w:rPr>
          <w:rFonts w:ascii="Times New Roman" w:cs="Times New Roman" w:eastAsia="SimSun" w:hAnsi="Times New Roman"/>
        </w:rPr>
        <w:t xml:space="preserve"> 爆发阈值由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确定，其中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为谱半径。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标量再生数由此升维为矩阵：单层、多层、成对、高阶均为其特例。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时有闭式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该结论已由两条不共享代码的路径互证：将 (2.5) 在无病定态作数值 Jacobian、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取最大实部特征值求阈值，与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在五组构型上一致到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其中含成对退化情形的解析值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。若以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群内级联项正是由此被发现。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正文须写出三条退化检验：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时回到单层超图的已知阈值；全部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(2.10) 回到多层网络 SIR 的已知阈值；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时回到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2.7 层间耦合对阈值的作用方向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4.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逐元非负，故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)≥</w:t>
      </w:r>
      <w:r>
        <w:rPr>
          <w:rFonts w:ascii="Cambria Math" w:eastAsia="SimSun" w:hAnsi="Cambria Math"/>
          <w:i/>
          <w:iCs/>
        </w:rPr>
        <w:t xml:space="preserve">max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Times New Roman" w:cs="Times New Roman" w:eastAsia="SimSun" w:hAnsi="Times New Roman"/>
        </w:rPr>
        <w:t xml:space="preserve"> 恰为孤立层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的分支数。在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的共同标度下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关于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单调增），多重超图的阈值因而不高于任一单层的阈值；若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不可约且存在非零非对角元，则严格更低。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非负矩阵的谱半径不小于其任一对角元；不可约时由 Perron–Frobenius 定理得到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关于矩阵元的严格单调性。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4 给出本工作最具传播力的一条论断：</w:t>
      </w:r>
      <w:r>
        <w:rPr>
          <w:rFonts w:ascii="Times New Roman" w:cs="Times New Roman" w:eastAsia="SimSun" w:hAnsi="Times New Roman"/>
          <w:b/>
          <w:bCs/>
        </w:rPr>
        <w:t xml:space="preserve">两条各自亚临界的弱渠道，合并之后可以超临界。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处，两层各自的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，处于深度亚临界，而合并后 </w:t>
      </w:r>
      <w:r>
        <w:rPr>
          <w:rFonts w:ascii="Cambria Math" w:eastAsia="SimSun" w:hAnsi="Cambria Math"/>
          <w:i w:val="false"/>
          <w:iCs w:val="false"/>
        </w:rPr>
        <w:t xml:space="preserve">ρ=1.013</w:t>
      </w:r>
      <w:r>
        <w:rPr>
          <w:rFonts w:ascii="Times New Roman" w:cs="Times New Roman" w:eastAsia="SimSun" w:hAnsi="Times New Roman"/>
        </w:rPr>
        <w:t xml:space="preserve">，已越过临界。发生条件由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显式给出，可绘成相图。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2.8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度均场取群体激活概率为系综平均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5（均场的三处偏差）.</w:t>
      </w:r>
      <w:r>
        <w:rPr>
          <w:rFonts w:ascii="Times New Roman" w:cs="Times New Roman" w:eastAsia="SimSun" w:hAnsi="Times New Roman"/>
        </w:rPr>
        <w:t xml:space="preserve"> (2.13) 与 (2.10) 的差别恰为三项，且方向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不同：其一，以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Times New Roman" w:cs="Times New Roman" w:eastAsia="SimSun" w:hAnsi="Times New Roman"/>
        </w:rPr>
        <w:t xml:space="preserve"> 取代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/(1+λ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，即把整个感染期的传递概率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当作 </w:t>
      </w:r>
      <w:r>
        <w:rPr>
          <w:rFonts w:ascii="Cambria Math" w:eastAsia="SimSun" w:hAnsi="Cambria Math"/>
          <w:i w:val="false"/>
          <w:iCs w:val="false"/>
        </w:rPr>
        <w:t xml:space="preserve">β/μ</w:t>
      </w:r>
      <w:r>
        <w:rPr>
          <w:rFonts w:ascii="Times New Roman" w:cs="Times New Roman" w:eastAsia="SimSun" w:hAnsi="Times New Roman"/>
        </w:rPr>
        <w:t xml:space="preserve">，忽略"群体一旦向某成员传递即对其用尽"，导致高估；其二，缺少余度相减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，即允许沿来路群体折返，同样导致高估；其三，缺少级联因子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/[(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]&gt;1</w:t>
      </w:r>
      <w:r>
        <w:rPr>
          <w:rFonts w:ascii="Times New Roman" w:cs="Times New Roman" w:eastAsia="SimSun" w:hAnsi="Times New Roman"/>
        </w:rPr>
        <w:t xml:space="preserve">，即线性化时把各成员的贡献独立相加、看不见群内级联对激活时长的延长，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导致低估。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时即退化为有向工作中"均场丢失分母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"的同一现象，第三项则为高阶所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特有，且作用方向相反。均场矩阵与均场 ODE 的 Jacobian 已验证一致到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-7</w:t>
      </w:r>
      <w:r>
        <w:rPr>
          <w:rFonts w:ascii="Times New Roman" w:cs="Times New Roman" w:eastAsia="SimSun" w:hAnsi="Times New Roman"/>
        </w:rPr>
        <w:t xml:space="preserve">。净效应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实测（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=0.76,0.85,0.88,0.90,0.91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）：前两项占优，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均场始终低估阈值，差距随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单调缩小而不变号。是否存在使净效应变号的参数区域尚属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开放问题，不应作为已知结论陈述。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2.9 群体阈值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≥2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(2.5)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形式不变。但单个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种子无法激活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的群体，(2.8)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，该层在 </w:t>
      </w:r>
      <w:r>
        <w:rPr>
          <w:rFonts w:ascii="Cambria Math" w:eastAsia="SimSun" w:hAnsi="Cambria Math"/>
          <w:i/>
          <w:iCs/>
        </w:rPr>
        <w:t xml:space="preserve">N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中整列为零。若所有层均有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，无线性失稳，模型转入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型渗流；若仅部分层如此，则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块三角化，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只由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的子矩阵决定。由此得到一条多层特有的结论：**一条高门槛渠道不改变爆发与否，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只改变爆发规模。**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该结论已定量验证。在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 下，加入 </w:t>
      </w:r>
      <w:r>
        <w:rPr>
          <w:rFonts w:ascii="Cambria Math" w:eastAsia="SimSun" w:hAnsi="Cambria Math"/>
          <w:i w:val="false"/>
          <w:iCs w:val="false"/>
        </w:rPr>
        <w:t xml:space="preserve">θ=2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的层后阈值由 </w:t>
      </w:r>
      <w:r>
        <w:rPr>
          <w:rFonts w:ascii="Cambria Math" w:eastAsia="SimSun" w:hAnsi="Cambria Math"/>
          <w:i w:val="false"/>
          <w:iCs w:val="false"/>
        </w:rPr>
        <w:t xml:space="preserve">0.410619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0.410616</w:t>
      </w:r>
      <w:r>
        <w:rPr>
          <w:rFonts w:ascii="Times New Roman" w:cs="Times New Roman" w:eastAsia="SimSun" w:hAnsi="Times New Roman"/>
        </w:rPr>
        <w:t xml:space="preserve">，相对移动 </w:t>
      </w: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-6</w:t>
      </w:r>
      <w:r>
        <w:rPr>
          <w:rFonts w:ascii="Times New Roman" w:cs="Times New Roman" w:eastAsia="SimSun" w:hAnsi="Times New Roman"/>
        </w:rPr>
        <w:t xml:space="preserve">，在二分精度内不变；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而终态规模在 </w:t>
      </w:r>
      <w:r>
        <w:rPr>
          <w:rFonts w:ascii="Cambria Math" w:eastAsia="SimSun" w:hAnsi="Cambria Math"/>
          <w:i w:val="false"/>
          <w:iCs w:val="false"/>
        </w:rPr>
        <w:t xml:space="preserve">λ=0.45,0.70,1.00</w:t>
      </w:r>
      <w:r>
        <w:rPr>
          <w:rFonts w:ascii="Times New Roman" w:cs="Times New Roman" w:eastAsia="SimSun" w:hAnsi="Times New Roman"/>
        </w:rPr>
        <w:t xml:space="preserve"> 处分别被放大 </w:t>
      </w:r>
      <w:r>
        <w:rPr>
          <w:rFonts w:ascii="Cambria Math" w:eastAsia="SimSun" w:hAnsi="Cambria Math"/>
          <w:i w:val="false"/>
          <w:iCs w:val="false"/>
        </w:rPr>
        <w:t xml:space="preserve">1.31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1.21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1.09</w:t>
      </w:r>
      <w:r>
        <w:rPr>
          <w:rFonts w:ascii="Times New Roman" w:cs="Times New Roman" w:eastAsia="SimSun" w:hAnsi="Times New Roman"/>
        </w:rPr>
        <w:t xml:space="preserve"> 倍。放大效应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在阈值上方最强、随超临界程度加深而衰减，这一非单调形状值得单列一小节并作图。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2.10 三处已知空缺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下列三项须在定稿前补足或明确声明留待后续，否则审稿意见必将述及。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其一为</w:t>
      </w: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。全文只讨论层间重叠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同样破坏 (H1)，至少应给出一项测量与一段讨论。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其二为</w:t>
      </w: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。目前只做到阈值。家庭模型已有成熟的最终规模自洽方程，且所需的是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群内最终规模的整个分布而非仅其均值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其三为</w:t>
      </w: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。阈值由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决定且与种子无关，而爆发概率由多型分支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过程的消亡不动点给出、依赖种子的型分布，与终态规模是两个不同的量。在有向超图的工作中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正是这一区分给出了最具信息量的序参量，本模型同样需要。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计算方案与预期结果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本节列出为支撑第 2 节各结论所需的计算。计算分为四组：3.1 确立理论自身的可信度，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3.2 给出本工作的物理结果，3.3 处理命题 1 失效的推广情形，3.4 检验理论在真实结构上的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适用边界。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 理论的自洽性与精度校验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在引入任何物理结论之前，须先确立理论自身的可信度。校验分三个层次：方程组的内部自洽、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阈值公式的独立复核、以及闭合相对精确过程的精度标度。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校验项目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预期结果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当前状态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求和规则与恒等式 (2.7)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方程组自洽，残差纯属积分误差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的数值 Jacobian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比对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两条不共享代码的路径互证阈值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已完成，一致到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6×10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-8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的递推与单群体蒙特卡洛比对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级联量本身无误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已完成，一致到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闭合与精确仿真的规模标度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1：闭合偏差随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Times New Roman" w:cs="Times New Roman" w:eastAsia="SimSun" w:hAnsi="Times New Roman"/>
              </w:rPr>
              <w:t xml:space="preserve"> 趋零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已完成，指数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-0.92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均场与精确仿真的同一标度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1 的对照：均场趋于非零平台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由亚临界终态外推测定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2：与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的独立比对，给出偏离的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Times New Roman" w:cs="Times New Roman" w:eastAsia="SimSun" w:hAnsi="Times New Roman"/>
              </w:rPr>
              <w:t xml:space="preserve"> 数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逐项关闭均场的三处偏差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3：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,λ)</w:t>
            </w:r>
            <w:r>
              <w:rPr>
                <w:rFonts w:ascii="Times New Roman" w:cs="Times New Roman" w:eastAsia="SimSun" w:hAnsi="Times New Roman"/>
              </w:rPr>
              <w:t xml:space="preserve"> 平面上净偏差的符号与量级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规模标度的报告须遵守两条规范。其一，每个数据点必须同时给出蒙特卡洛噪声底，否则"误差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随规模重新上升"一类的假象无法与真实的闭合失效相区分；本工作的初次测量正是在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处出现过这样的假上升，补充噪声底重跑后方确认其成因为运行次数不足。其二，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的下限须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按最大的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选取：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=(3,5)</w:t>
      </w:r>
      <w:r>
        <w:rPr>
          <w:rFonts w:ascii="Times New Roman" w:cs="Times New Roman" w:eastAsia="SimSun" w:hAnsi="Times New Roman"/>
        </w:rPr>
        <w:t xml:space="preserve"> 的构型在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处偏差仍高出噪声 </w:t>
      </w:r>
      <w:r>
        <w:rPr>
          <w:rFonts w:ascii="Cambria Math" w:eastAsia="SimSun" w:hAnsi="Cambria Math"/>
          <w:i w:val="false"/>
          <w:iCs w:val="false"/>
        </w:rPr>
        <w:t xml:space="preserve">2.7</w:t>
      </w:r>
      <w:r>
        <w:rPr>
          <w:rFonts w:ascii="Times New Roman" w:cs="Times New Roman" w:eastAsia="SimSun" w:hAnsi="Times New Roman"/>
        </w:rPr>
        <w:t xml:space="preserve"> 倍，至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才落入噪声，因为群体越大，同样规模下短回路越密。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阈值的测量协议须注意一处易错点。亚临界簇的平均总规模为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种子的型分布；不可写成 </w:t>
      </w:r>
      <w:r>
        <w:rPr>
          <w:rFonts w:ascii="Cambria Math" w:eastAsia="SimSun" w:hAnsi="Cambria Math"/>
          <w:i w:val="false"/>
          <w:iCs w:val="false"/>
        </w:rPr>
        <w:t xml:space="preserve">1/(1-ρ)</w:t>
      </w:r>
      <w:r>
        <w:rPr>
          <w:rFonts w:ascii="Times New Roman" w:cs="Times New Roman" w:eastAsia="SimSun" w:hAnsi="Times New Roman"/>
        </w:rPr>
        <w:t xml:space="preserve">，后者仅在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恰为 Perron 向量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时成立。可用的性质是它在 </w:t>
      </w:r>
      <w:r>
        <w:rPr>
          <w:rFonts w:ascii="Cambria Math" w:eastAsia="SimSun" w:hAnsi="Cambria Math"/>
          <w:i w:val="false"/>
          <w:iCs w:val="false"/>
        </w:rPr>
        <w:t xml:space="preserve">ρ→1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</w:t>
      </w:r>
      <w:r>
        <w:rPr>
          <w:rFonts w:ascii="Times New Roman" w:cs="Times New Roman" w:eastAsia="SimSun" w:hAnsi="Times New Roman"/>
        </w:rPr>
        <w:t xml:space="preserve"> 时按 </w:t>
      </w:r>
      <w:r>
        <w:rPr>
          <w:rFonts w:ascii="Cambria Math" w:eastAsia="SimSun" w:hAnsi="Cambria Math"/>
          <w:i w:val="false"/>
          <w:iCs w:val="false"/>
        </w:rPr>
        <w:t xml:space="preserve">(1-ρ)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 发散，故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随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线性趋零，其零点即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若以方程组自身的终态二分求阈值，积分窗口会系统性抬高结果：阈值邻域的增长率趋于零，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内尚未展开即被判为未爆发。四组构型在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下一致地比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高 </w:t>
      </w:r>
      <w:r>
        <w:rPr>
          <w:rFonts w:ascii="Cambria Math" w:eastAsia="SimSun" w:hAnsi="Cambria Math"/>
          <w:i w:val="false"/>
          <w:iCs w:val="false"/>
        </w:rPr>
        <w:t xml:space="preserve">2.5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2.6%</w:t>
      </w:r>
      <w:r>
        <w:rPr>
          <w:rFonts w:ascii="Times New Roman" w:cs="Times New Roman" w:eastAsia="SimSun" w:hAnsi="Times New Roman"/>
        </w:rPr>
        <w:t xml:space="preserve">，该偏差已确认为积分窗口效应——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每加倍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偏差减半（</w:t>
      </w:r>
      <w:r>
        <w:rPr>
          <w:rFonts w:ascii="Cambria Math" w:eastAsia="SimSun" w:hAnsi="Cambria Math"/>
          <w:i w:val="false"/>
          <w:iCs w:val="false"/>
        </w:rPr>
        <w:t xml:space="preserve">11.8%→5.5%→2.6%→1.2%→0.55%</w:t>
      </w:r>
      <w:r>
        <w:rPr>
          <w:rFonts w:ascii="Times New Roman" w:cs="Times New Roman" w:eastAsia="SimSun" w:hAnsi="Times New Roman"/>
        </w:rPr>
        <w:t xml:space="preserve">，比值 </w:t>
      </w:r>
      <w:r>
        <w:rPr>
          <w:rFonts w:ascii="Cambria Math" w:eastAsia="SimSun" w:hAnsi="Cambria Math"/>
          <w:i w:val="false"/>
          <w:iCs w:val="false"/>
        </w:rPr>
        <w:t xml:space="preserve">2.14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2.17</w:t>
      </w:r>
      <w:r>
        <w:rPr>
          <w:rFonts w:ascii="Times New Roman" w:cs="Times New Roman" w:eastAsia="SimSun" w:hAnsi="Times New Roman"/>
        </w:rPr>
        <w:t xml:space="preserve">），即按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衰减，Richardson 外推得 </w:t>
      </w:r>
      <w:r>
        <w:rPr>
          <w:rFonts w:ascii="Cambria Math" w:eastAsia="SimSun" w:hAnsi="Cambria Math"/>
          <w:i w:val="false"/>
          <w:iCs w:val="false"/>
        </w:rPr>
        <w:t xml:space="preserve">0.082231</w:t>
      </w:r>
      <w:r>
        <w:rPr>
          <w:rFonts w:ascii="Times New Roman" w:cs="Times New Roman" w:eastAsia="SimSun" w:hAnsi="Times New Roman"/>
        </w:rPr>
        <w:t xml:space="preserve">，与预言值 </w:t>
      </w:r>
      <w:r>
        <w:rPr>
          <w:rFonts w:ascii="Cambria Math" w:eastAsia="SimSun" w:hAnsi="Cambria Math"/>
          <w:i w:val="false"/>
          <w:iCs w:val="false"/>
        </w:rPr>
        <w:t xml:space="preserve">0.082308</w:t>
      </w:r>
      <w:r>
        <w:rPr>
          <w:rFonts w:ascii="Times New Roman" w:cs="Times New Roman" w:eastAsia="SimSun" w:hAnsi="Times New Roman"/>
        </w:rPr>
        <w:t xml:space="preserve"> 的相对差为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。非线性闭合自身的阈值确实收敛到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。正文若采用此种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二分，须附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的收敛表。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 结构参数扫描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本组计算给出本工作的物理结果。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扫描对象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预期结果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扫描，理论与仿真对照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4：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，层间参与相关如何移动阈值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 平面绘制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5（核心结果）：协同区相图，界定两条弱渠道合并后超临界的参数范围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 </w:t>
            </w:r>
            <w:r>
              <w:rPr>
                <w:rFonts w:ascii="Cambria Math" w:eastAsia="SimSun" w:hAnsi="Cambria Math"/>
                <w:i/>
                <w:iCs/>
              </w:rPr>
              <w:t xml:space="preserve">w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Times New Roman" w:cs="Times New Roman" w:eastAsia="SimSun" w:hAnsi="Times New Roman"/>
              </w:rPr>
              <w:t xml:space="preserve">，在两层间转移权重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最劣渠道配置；此问题为多层结构所特有，单层不存在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扫描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≠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判定"少数大群体"与"多数小群体"孰更危险。由 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关于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的超线性增长，预期大群体更危险，须定量确认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检验一条可证伪推论：(2.10) 只读取联合层度分布，看不见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。若测得阈值随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移动，其幅度即为树状闭合失效的定量刻度；若测不到，则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的作用只体现在阈值以外的量上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其中最后一项以 1.3 节的可动范围测定为前提。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 跨层剂量核下的推广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将风险率取为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为凹或凸的剂量核，则命题 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失效。本组计算须给出闭合的相应修改——节点侧不再是各层的独立乘积，需引入跨层联合状态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——以及与可约情形的定量差异。若差异显著，则得到真正意义上的多层模型；若差异可忽略，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则应如实陈述"多层结构的效应主要来自结构而非动力学"，该结论同样成立且更强。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 真实数据检验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取同一人群的多渠道群体数据，测量真实的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(2.10) 给出阈值预测，并与在真实结构上直接仿真的结果比较。由此确定理论在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非位形模型结构上的适用边界；真实结构存在层内重叠与聚集，偏差的量级本身即为结果。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4. 各结果的论断归属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支撑的论断是：多层模型的价值在于结构而非动力学。该论断对整个多层传播文献成立，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是本工作可以主张的最广的一条。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3 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支撑的论断是：单层、多层、成对、高阶四种情形获得统一的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表述。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2.5 节的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</w:rPr>
        <w:t xml:space="preserve"> 支撑的论断是：群内级联是高阶传播所特有的量，成对极限下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退化为传递概率；同时它也是与家庭模型对接的接口。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4 与协同区相图支撑的论断是：两条弱渠道可以合并后超临界。此为最具传播力的一条，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适宜置于摘要。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5 与图 3 支撑的论断是：均场偏差可分解为三项，其量级与方向各异。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2.9 节支撑的论断是：高门槛渠道不改变爆发与否，只改变爆发规模。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扫描支撑的是树状闭合的可证伪预言，测得与测不到均构成结果。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局限须如实陈述：闭合的渐近精确性目前只有数值证据而无严格证明；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bootstrap 问题未解；跨层剂量核只给出框架；层内重叠尚未处理。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5. 工作进度汇总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#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计算内容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预期结果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测定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在保联合度下的可动范围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决定 3.2 末项扫描是否可行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首要事项，尚未进行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生成器与 Gillespie 采样器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真值来源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已具备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的积分器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完整的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 与终态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已具备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两条免仿真自检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数值 Jacobian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比对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阈值公式无误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的递推与蒙特卡洛比对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闭合与仿真的规模标度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闭合渐近精确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均场的同一标度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均场趋于非零平台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亚临界外推测定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阈值的独立测量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协同区相图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5，核心结果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理论已验，制图待做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渠道权重与群体规模扫描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最劣配置；大小群体之比较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可证伪推论的检验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以第 0 项为前提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跨层剂量核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不可约情形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适用边界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</w:tbl>
    <w:p>
      <w:pPr>
        <w:spacing w:after="160"/>
      </w:pP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2026-08-11T03:13:46.012Z</dcterms:created>
  <dcterms:modified xsi:type="dcterms:W3CDTF">2026-08-11T03:13:46.025Z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