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I. 引言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在成对接触网络上，SIR 传播的理论已沿两条彼此独立的路径发展成熟。终态一侧由渗流承担：任意度分布随机图的连通结构可由生成函数方法解析给出 [1]，而键渗流映射把最终感染规模化归为占据概率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Times New Roman" w:cs="Times New Roman" w:eastAsia="SimSun" w:hAnsi="Times New Roman"/>
        </w:rPr>
        <w:t xml:space="preserve"> 下的巨簇规模 [2]；这一思路可上溯至一般流行过程与动力学渗流的等价性 [3]。由此立即可见度分布异质性的作用：临界占据概率为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=⟨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⟩/(⟨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⟩-⟨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⟩)</w:t>
      </w:r>
      <w:r>
        <w:rPr>
          <w:rFonts w:ascii="Times New Roman" w:cs="Times New Roman" w:eastAsia="SimSun" w:hAnsi="Times New Roman"/>
        </w:rPr>
        <w:t xml:space="preserve">，二阶矩发散时阈值趋于零——这一结论最早在无标度网络上的 SIS 模型中给出 [4]。Kenah 与 Robins 随后指出，SIR 与键渗流之间并非严格同构：与之精确同构的是一个半有向的"流行渗流网络"，其中爆发规模分布对应出分支、阈值对应巨强连通分支的出现、终态规模对应巨出分支 [5]。值得注意的是，方向性由此已经内在地进入了 SIR 的渗流表述，尽管接触网络本身是无向的。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含时一侧由方程法承担。Volz 用成对近似给出随机网络上 SIR 的低维闭合 [6]，Miller 等将其整理为边基房室模型（EBCM），以"沿一条边尚未传来感染"的概率为核心变量，用少数常微分方程同时容纳异质接触率与伙伴关系的有限持续时间 [7]。传染与康复过程的分布形式并非细节：偏离马尔可夫假设会显著改变流行阈值 [8]。两条路径分工明确——渗流给出阈值与终态，方程给出峰值与时间演化——并可相互印证 [9]。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方向性作为接触网络本身的属性也早已被处理，且入出度相关从一开始就是其中的关键量。有向随机图各巨分支的规模由入出度联合分布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决定；当该分布不可分解——即入度与出度相关时——巨强连通分支的规模会偏离巨入分支与巨出分支规模之积 [10]。在任意两点度相关与双向边同时存在的一般情形下，有向渗流的阈值与各巨分支规模已可解析求出 [11]，这套机制并已直接用于有向接触网络上的流行预测 [12]。入出度相关对动力学的影响亦有直接证据：在有向网络上的阈值型传播中，正的入出度相关在较宽的平均入度范围内提高系统稳健性，负相关则相反 [13]。它与无向网络中的度—度同配性 [14] 并非同一件事——后者刻画相连节点之间度值的相似性，前者刻画同一节点两个方向的度值关系。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与此同时，传播研究的重心转向高阶交互——许多传染并非沿边逐个发生，而是在一个群体内集体发生 [15, 16]，而这类高阶交互在真实数据中普遍存在 [17]。单纯复形上的高阶影响与强化机制可诱导不连续相变，并出现健康态与流行态共存的双稳区 [18]；超图上的社会传播已有适用于任意超图的解析框架，展现一阶与二阶相变、双稳与滞后 [19]；而把异质暴露与最小感染剂量结合，会导出一个普适的非线性感染核，并随之出现不连续相变与超指数增长 [20]——这与经典的阈值型复杂传播 [21, 22] 一脉相承。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结构对高阶传播的影响同样明确。链接度分布的异质性可抑制爆炸式相变 [23]；超核分解给出一种中心性，传播过程局域于中心超核 [24]；由超边之间共享节点数定义的高阶连通分支，其巨分支的存在是单一种子实现全局爆发的必要条件 [25]；哪些群体最适合作为种子也已被刻画 [26]。尤为关键的是，超边之间的重叠决定了转变是否爆炸式，且其作用方向值得注意：只有在阶内重叠较低时才出现爆炸性与双稳 [27]。重叠的组织方式可由一个超边重叠矩阵刻画，其对角元与非对角元分别对应阶内与阶间重叠 [28]，而阶间相关驱动系统沿不同路径走向爆炸式传播 [29]。超图上的渗流理论亦已建立 [30]，相关进展见综述 [31]。这些工作共享同一前提：超边是无向的，一条超边内的所有节点对称地相互施加影响。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然而现实中的高阶交互往往是有向的——施加影响的一方与接受影响的一方并不对称。有向超图正是为刻画这种不对称而设的形式化：每条超边分为施加影响的尾集与接受影响的头集（二者不相交），这一结构在算法与运筹领域已使用三十余年 [32]。代谢与化学反应把一组底物转化为一组产物，是其典型实例 [33]；比特币交易与引用数据亦已按有向超图分析 [34]。针对有向超图的结构刻画工具近年迅速成型：真实数据的微观组织、高阶互惠性与 motif 已被系统刻画 [34, 35]；无向超图中超边重叠的测度与生成器已给出 [36]，位形模型与保度随机化亦有成熟实现 [37, 38]；而保入出度序列的均匀采样与非退化零模型在有向超图上也已可用 [39, 40]。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动力学一侧则由 Li 等开启。他们在有向超图上建立社会传播模型，发现不连续相变的双稳区间随有向强度减弱而收缩，表明方向性确实改变高阶传播的相变结构 [41]。该工作采用均场闭合，不涉及渗流，其方向性由单一标量强度参数调节。均场忽略邻域相关，误差在阈值邻域最大；在成对网络上，正是 EBCM 补上了这一层 [6, 7]。因此，有向超图上的传播阈值究竟如何依赖于结构相关，目前既没有超出均场的含时理论，也没有可用于解析扫描的渗流理论。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本文沿方程与渗流两条路径推进这一问题，并证明二者在同一极限下相合。方程一侧，我们提出有向超图 SIR 的并发型 EBCM 方程；其技术困难在于一个头节点同时承受多条超边、多个尾成员的并发压力，闭合变量不能简单相乘。我们给出闭合方案，在尾集基数 </w:t>
      </w:r>
      <w:r>
        <w:rPr>
          <w:rFonts w:ascii="Cambria Math" w:eastAsia="SimSun" w:hAnsi="Cambria Math"/>
          <w:i w:val="false"/>
          <w:iCs w:val="false"/>
        </w:rPr>
        <w:t xml:space="preserve">τ=1,2</w:t>
      </w:r>
      <w:r>
        <w:rPr>
          <w:rFonts w:ascii="Times New Roman" w:cs="Times New Roman" w:eastAsia="SimSun" w:hAnsi="Times New Roman"/>
        </w:rPr>
        <w:t xml:space="preserve"> 的可控情形下手推验证，并以精确 Gillespie 仿真 [42] 在阈值邻域校验，从而定量给出边基闭合相对均场的增益。渗流一侧，我们把成对网络上的 SIR–渗流映射及其半有向修正 [2, 5] 与有向渗流的生成函数机制 [10, 11] 推广到有向超图，得到爆发阈值随结构参数变化的半解析依赖。两条路径互不依赖，因而可互为验证；我们进一步证明二者的自洽方程在 </w:t>
      </w:r>
      <w:r>
        <w:rPr>
          <w:rFonts w:ascii="Cambria Math" w:eastAsia="SimSun" w:hAnsi="Cambria Math"/>
          <w:i w:val="false"/>
          <w:iCs w:val="false"/>
        </w:rPr>
        <w:t xml:space="preserve">μ→0</w:t>
      </w:r>
      <w:r>
        <w:rPr>
          <w:rFonts w:ascii="Times New Roman" w:cs="Times New Roman" w:eastAsia="SimSun" w:hAnsi="Times New Roman"/>
        </w:rPr>
        <w:t xml:space="preserve"> 极限下同构，给出同一阈值。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为使结构依赖可被受控地检验，我们给出有向超边重叠的可计算定义。对每一对有序超边构造 </w:t>
      </w:r>
      <w:r>
        <w:rPr>
          <w:rFonts w:ascii="Cambria Math" w:eastAsia="SimSun" w:hAnsi="Cambria Math"/>
          <w:i w:val="false"/>
          <w:iCs w:val="false"/>
        </w:rPr>
        <w:t xml:space="preserve">2×2</w:t>
      </w:r>
      <w:r>
        <w:rPr>
          <w:rFonts w:ascii="Times New Roman" w:cs="Times New Roman" w:eastAsia="SimSun" w:hAnsi="Times New Roman"/>
        </w:rPr>
        <w:t xml:space="preserve"> 重叠列联矩阵，其四个通道分别对应共享节点在两条超边中同为尾成员、同为头成员、或一为头一为尾（两个方向各一个通道）。按阶聚合后得到一个张量，其阶对角块与非对角块分别对应已有的阶内与阶间重叠 [27, 28]；对任意一对超边，四个通道之和精确等于无向情形下的重叠，因此本文结果可与无向文献直接对照。互惠通道直接采用文献中的强互惠判据 [34]。在此定义下，我们在严格保持逐节点入出度的约束下，运行以入出度相关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与重叠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为目标的定向重连，从而沿单一结构坐标做受控扫描；零模型基线取自已有的均匀采样器 [39, 40]。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这里先指出一个与直觉相反的结果。全局方向翻转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是结构空间上的对合；若生成系综在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下不变，则爆发规模的系综平均在方向翻转下必然不变。因此方向对称性破缺要求某个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-奇不变量非零。而入出度相关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下是偶的——方向翻转互换每个节点的入度与出度，而相关系数对其两个变量对称。这意味着单独调节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不可能产生系综层面的方向不对称，尽管它确实移动阈值。本文所用结构量中，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-奇者有三个：尾集与头集基数之差、联合度分布关于对角线的反对称部分，以及共发重叠与共收重叠之差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。把前两个置零后，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就是破缺的最低阶来源；我们据此设计破缺实验，并给出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扫描下无破缺的阴性对照。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还需说明一点：当群体阈值 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时，激活规则不再是单条超边的独立事件，模型转而落入 bootstrap 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型渗流，其相变结构不同于普通渗流——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的出现是混合型相变 [43]，bootstrap 渗流则可能同时存在一个连续阈值与一个更高的混合型阈值，且后者在二阶矩发散时消失 [44]；高阶渗流与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渗流之间的联系在多重超图上已被建立 [45]。本文对 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分别处理。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本文余下部分安排如下。第 II 节给出有向超图与 SIR 动力学的定义、有向超边重叠的可计算形式，以及结构量在方向翻转下的宇称分类。第 III 节推导并发型 EBCM 方程并给出仿真校验。第 IV 节建立 SIR 到有向超图渗流的映射与生成函数阈值理论。第 V 节介绍保度生成与定向重连工具。第 VI 节给出阈值对结构参数的依赖、方向对称性破缺，以及两方法的交叉验证。第 VII 节在真实有向超图数据上检验模型。第 VIII 节为讨论与结论。</w:t>
      </w:r>
    </w:p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II. 模型与结构量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A. 有向超图与记号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有向超图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=(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由节点集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=|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）与超边集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）构成。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为集合，即不含重复超边；第 V 节的生成器在配对后显式修复重复超边与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相交的违规。每条超边是一个有序对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)⊆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)∩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)=∅</w:t>
      </w:r>
      <w:r>
        <w:rPr>
          <w:rFonts w:ascii="Cambria Math" w:eastAsia="SimSun" w:hAnsi="Cambria Math"/>
          <w:sz w:val="21"/>
          <w:szCs w:val="21"/>
        </w:rPr>
        <w:t xml:space="preserve">	(1)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其中尾集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为施加影响的一方，头集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为接受影响的一方。二者不相交，这既排除了自作用，也是后文重叠退化关系 (11) 成立的前提。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主线取同质阶数，即对所有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有 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)|=τ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)|=η</w:t>
      </w:r>
      <w:r>
        <w:rPr>
          <w:rFonts w:ascii="Times New Roman" w:cs="Times New Roman" w:eastAsia="SimSun" w:hAnsi="Times New Roman"/>
        </w:rPr>
        <w:t xml:space="preserve">；异质阶数的推广见附录。</w:t>
      </w:r>
      <w:r>
        <w:rPr>
          <w:rFonts w:ascii="Cambria Math" w:eastAsia="SimSun" w:hAnsi="Cambria Math"/>
          <w:i w:val="false"/>
          <w:iCs w:val="false"/>
        </w:rPr>
        <w:t xml:space="preserve">τ=η=1</w:t>
      </w:r>
      <w:r>
        <w:rPr>
          <w:rFonts w:ascii="Times New Roman" w:cs="Times New Roman" w:eastAsia="SimSun" w:hAnsi="Times New Roman"/>
        </w:rPr>
        <w:t xml:space="preserve"> 时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退化为普通有向图；取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)∪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为超边的支撑集则退化为无向超图。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节点的出度与入度分别计其作为尾成员与头成员的次数，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</w:t>
      </w:r>
      <w:r>
        <w:rPr>
          <w:rFonts w:ascii="Cambria Math" w:eastAsia="SimSun" w:hAnsi="Cambria Math"/>
          <w:sz w:val="21"/>
          <w:szCs w:val="21"/>
        </w:rPr>
        <w:t xml:space="preserve">	(2)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二者的联合分布记为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。逐边计数给出两条握手关系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V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)=τ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V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)=η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sz w:val="21"/>
          <w:szCs w:val="21"/>
        </w:rPr>
        <w:t xml:space="preserve">	(3)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因此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⟩=τ/η</w:t>
      </w:r>
      <w:r>
        <w:rPr>
          <w:rFonts w:ascii="Times New Roman" w:cs="Times New Roman" w:eastAsia="SimSun" w:hAnsi="Times New Roman"/>
        </w:rPr>
        <w:t xml:space="preserve">：尾集与头集基数不等时，两个平均度必然不等。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本文所用的随机系综为有向超图位形模型：给定双度序列 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))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Times New Roman" w:cs="Times New Roman" w:eastAsia="SimSun" w:hAnsi="Times New Roman"/>
        </w:rPr>
        <w:t xml:space="preserve"> 与阶数 </w:t>
      </w:r>
      <w:r>
        <w:rPr>
          <w:rFonts w:ascii="Cambria Math" w:eastAsia="SimSun" w:hAnsi="Cambria Math"/>
          <w:i w:val="false"/>
          <w:iCs w:val="false"/>
        </w:rPr>
        <w:t xml:space="preserve">(τ,η)</w:t>
      </w:r>
      <w:r>
        <w:rPr>
          <w:rFonts w:ascii="Times New Roman" w:cs="Times New Roman" w:eastAsia="SimSun" w:hAnsi="Times New Roman"/>
        </w:rPr>
        <w:t xml:space="preserve">，对全部尾槽与头槽做均匀随机配对，再修复违规超边；具体实现与均匀性讨论见第 V 节。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本文的第一个结构参数是入出度相关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=(⟨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⟩-⟨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⟩⟨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(4)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即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在节点上的 Pearson 相关系数——刻画同一节点两个方向的度值关系，而非相连节点之间的度值相似性 [14]。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B. SIR 动力学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每个节点在任一时刻处于易感（S）、感染（I）、康复（R）三态之一。感染只沿尾→头方向传递：超边尾集中的感染成员驱动其头集中的易感节点，反向不发生传递。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记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)⊆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为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时刻的感染节点集，并令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)∩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</w:t>
      </w:r>
      <w:r>
        <w:rPr>
          <w:rFonts w:ascii="Cambria Math" w:eastAsia="SimSun" w:hAnsi="Cambria Math"/>
          <w:sz w:val="21"/>
          <w:szCs w:val="21"/>
        </w:rPr>
        <w:t xml:space="preserve">	(5)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为超边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尾集中已感染的成员数。超边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对其头集中每个尚处易感态的节点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Cambria Math" w:eastAsia="SimSun" w:hAnsi="Cambria Math"/>
          <w:i w:val="false"/>
          <w:iCs w:val="false"/>
        </w:rPr>
        <w:t xml:space="preserve">∈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施加的感染率取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)=β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g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g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(0)=0</w:t>
      </w:r>
      <w:r>
        <w:rPr>
          <w:rFonts w:ascii="Cambria Math" w:eastAsia="SimSun" w:hAnsi="Cambria Math"/>
          <w:sz w:val="21"/>
          <w:szCs w:val="21"/>
        </w:rPr>
        <w:t xml:space="preserve">	(6)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其中 </w:t>
      </w:r>
      <w:r>
        <w:rPr>
          <w:rFonts w:ascii="Cambria Math" w:eastAsia="SimSun" w:hAnsi="Cambria Math"/>
          <w:i w:val="false"/>
          <w:iCs w:val="false"/>
        </w:rPr>
        <w:t xml:space="preserve">β&gt;0</w:t>
      </w:r>
      <w:r>
        <w:rPr>
          <w:rFonts w:ascii="Times New Roman" w:cs="Times New Roman" w:eastAsia="SimSun" w:hAnsi="Times New Roman"/>
        </w:rPr>
        <w:t xml:space="preserve"> 为传播强度，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Times New Roman" w:cs="Times New Roman" w:eastAsia="SimSun" w:hAnsi="Times New Roman"/>
        </w:rPr>
        <w:t xml:space="preserve"> 为感染核。本文主线取群体阈值核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g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)=Θ(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-θ)=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≥θ; 0,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&lt;θ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sz w:val="21"/>
          <w:szCs w:val="21"/>
        </w:rPr>
        <w:t xml:space="preserve">	(7)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尾集感染成员数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Times New Roman" w:cs="Times New Roman" w:eastAsia="SimSun" w:hAnsi="Times New Roman"/>
        </w:rPr>
        <w:t xml:space="preserve"> 时超边处于激活态，以恒定率向头集传递；成员康复使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Times New Roman" w:cs="Times New Roman" w:eastAsia="SimSun" w:hAnsi="Times New Roman"/>
        </w:rPr>
        <w:t xml:space="preserve"> 回落到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以下时超边失活。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对应简单传播，任一尾成员感染即足以激活超边；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则要求多个尾成员的联合状态，属于阈值型复杂传播 [21, 22]。两者的渗流对应物不同，将在第 IV 节分别处理。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阈值放在尾侧、且逐超边判定，是本文主线的机制选择。取线性核 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可回收"每个感染尾成员独立传递"的情形；把阈值改放头侧、令头节点在跨超边累积的剂量超过阈值时被感染，则得到另一类机制，由附录的剂量核统一处理。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易感节点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的总感染率是它所在全部头集的贡献之和，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e: u∈ H(e)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(8)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感染节点以恒定率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独立康复，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→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，康复后不再参与传递。以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归一时间尺度后，过程只依赖比值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λ≡β/μ</w:t>
      </w:r>
      <w:r>
        <w:rPr>
          <w:rFonts w:ascii="Cambria Math" w:eastAsia="SimSun" w:hAnsi="Cambria Math"/>
          <w:sz w:val="21"/>
          <w:szCs w:val="21"/>
        </w:rPr>
        <w:t xml:space="preserve">	(9)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故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Times New Roman" w:cs="Times New Roman" w:eastAsia="SimSun" w:hAnsi="Times New Roman"/>
        </w:rPr>
        <w:t xml:space="preserve"> 是本文唯一的动力学控制参数，爆发阈值指其临界值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；后文所称"阈值随结构参数变化"即指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对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等量的依赖。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V</w:t>
      </w:r>
      <w:r>
        <w:rPr>
          <w:rFonts w:ascii="Times New Roman" w:cs="Times New Roman" w:eastAsia="SimSun" w:hAnsi="Times New Roman"/>
        </w:rPr>
        <w:t xml:space="preserve"> 上的演化因而是连续时间 Markov 过程，可用 Gillespie 算法精确抽样 [42]——这是第 III 节数值校验的基础。非指数康复期分布的推广见附录。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初始条件取单个均匀随机选取的种子节点感染、其余易感。有限系统几乎必然在有限时间内到达无感染者的吸收态；记该吸收态中康复节点的占比为爆发规模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Times New Roman" w:cs="Times New Roman" w:eastAsia="SimSun" w:hAnsi="Times New Roman"/>
        </w:rPr>
        <w:t xml:space="preserve">，记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为给定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时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Times New Roman" w:cs="Times New Roman" w:eastAsia="SimSun" w:hAnsi="Times New Roman"/>
        </w:rPr>
        <w:t xml:space="preserve"> 对动力学随机性与种子选取的条件期望。种子分布均匀因而与超边方向无关，这一点 II.D 将用到。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式 (5)–(8) 中方向性的作用是不对称的：节点的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Times New Roman" w:cs="Times New Roman" w:eastAsia="SimSun" w:hAnsi="Times New Roman"/>
        </w:rPr>
        <w:t xml:space="preserve"> 决定它能把感染推给多少个头集，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决定它暴露于多少个尾集。这一不对称正是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得以进入动力学的通道。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C. 有向超边重叠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第二个结构参数刻画超边之间如何共享节点。在无向超图中，两条超边的重叠只有"共享几个节点"一个自由度 [27, 28]；引入尾/头之分后，共享节点在两条超边中各自扮演的角色也成为信息。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对任意有序超边对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≠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，定义重叠列联矩阵的四个分量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)∩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sz w:val="21"/>
          <w:szCs w:val="21"/>
        </w:rPr>
        <w:t xml:space="preserve">	(10)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其中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当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当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Times New Roman" w:cs="Times New Roman" w:eastAsia="SimSun" w:hAnsi="Times New Roman"/>
        </w:rPr>
        <w:t xml:space="preserve"> 同理。四个通道各有独立的动力学含义：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TT</w:t>
      </w:r>
      <w:r>
        <w:rPr>
          <w:rFonts w:ascii="Times New Roman" w:cs="Times New Roman" w:eastAsia="SimSun" w:hAnsi="Times New Roman"/>
        </w:rPr>
        <w:t xml:space="preserve"> 为</w:t>
      </w:r>
      <w:r>
        <w:rPr>
          <w:rFonts w:ascii="Times New Roman" w:cs="Times New Roman" w:eastAsia="SimSun" w:hAnsi="Times New Roman"/>
          <w:b/>
          <w:bCs/>
        </w:rPr>
        <w:t xml:space="preserve">共发</w:t>
      </w:r>
      <w:r>
        <w:rPr>
          <w:rFonts w:ascii="Times New Roman" w:cs="Times New Roman" w:eastAsia="SimSun" w:hAnsi="Times New Roman"/>
        </w:rPr>
        <w:t xml:space="preserve">，共享节点在两条超边中同为尾成员，同一感染源向两个不同头集扇出；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HH</w:t>
      </w:r>
      <w:r>
        <w:rPr>
          <w:rFonts w:ascii="Times New Roman" w:cs="Times New Roman" w:eastAsia="SimSun" w:hAnsi="Times New Roman"/>
        </w:rPr>
        <w:t xml:space="preserve"> 为</w:t>
      </w:r>
      <w:r>
        <w:rPr>
          <w:rFonts w:ascii="Times New Roman" w:cs="Times New Roman" w:eastAsia="SimSun" w:hAnsi="Times New Roman"/>
          <w:b/>
          <w:bCs/>
        </w:rPr>
        <w:t xml:space="preserve">共收</w:t>
      </w:r>
      <w:r>
        <w:rPr>
          <w:rFonts w:ascii="Times New Roman" w:cs="Times New Roman" w:eastAsia="SimSun" w:hAnsi="Times New Roman"/>
        </w:rPr>
        <w:t xml:space="preserve">，共享节点同为头成员，两条超边的感染率按 (8) 在该节点上叠加（附录的头侧剂量核下，跨超边剂量亦在此累积）；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HT</w:t>
      </w:r>
      <w:r>
        <w:rPr>
          <w:rFonts w:ascii="Times New Roman" w:cs="Times New Roman" w:eastAsia="SimSun" w:hAnsi="Times New Roman"/>
        </w:rPr>
        <w:t xml:space="preserve"> 为</w:t>
      </w:r>
      <w:r>
        <w:rPr>
          <w:rFonts w:ascii="Times New Roman" w:cs="Times New Roman" w:eastAsia="SimSun" w:hAnsi="Times New Roman"/>
          <w:b/>
          <w:bCs/>
        </w:rPr>
        <w:t xml:space="preserve">串联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的头集落入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 的尾集，构成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→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 的传播链；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TH</w:t>
      </w:r>
      <w:r>
        <w:rPr>
          <w:rFonts w:ascii="Times New Roman" w:cs="Times New Roman" w:eastAsia="SimSun" w:hAnsi="Times New Roman"/>
        </w:rPr>
        <w:t xml:space="preserve"> 为反向串联。由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)=∅</w:t>
      </w:r>
      <w:r>
        <w:rPr>
          <w:rFonts w:ascii="Times New Roman" w:cs="Times New Roman" w:eastAsia="SimSun" w:hAnsi="Times New Roman"/>
        </w:rPr>
        <w:t xml:space="preserve">，令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̄=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)∪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即得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̄∩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̄|=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HH</w:t>
      </w:r>
      <w:r>
        <w:rPr>
          <w:rFonts w:ascii="Cambria Math" w:eastAsia="SimSun" w:hAnsi="Cambria Math"/>
          <w:sz w:val="21"/>
          <w:szCs w:val="21"/>
        </w:rPr>
        <w:t xml:space="preserve">	(11)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也就是说，对任意一对超边，四通道之和精确等于其无向重叠：本节的重叠量是现行定义的方向细化，因而后文结果可与无向文献直接对照。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归一化到 </w:t>
      </w:r>
      <w:r>
        <w:rPr>
          <w:rFonts w:ascii="Cambria Math" w:eastAsia="SimSun" w:hAnsi="Cambria Math"/>
          <w:i w:val="false"/>
          <w:iCs w:val="false"/>
        </w:rPr>
        <w:t xml:space="preserve">[0,1]</w:t>
      </w:r>
      <w:r>
        <w:rPr>
          <w:rFonts w:ascii="Times New Roman" w:cs="Times New Roman" w:eastAsia="SimSun" w:hAnsi="Times New Roman"/>
        </w:rPr>
        <w:t xml:space="preserve"> 取（同质阶数下分母逐通道为常数：</w:t>
      </w:r>
      <w:r>
        <w:rPr>
          <w:rFonts w:ascii="Cambria Math" w:eastAsia="SimSun" w:hAnsi="Cambria Math"/>
          <w:i/>
          <w:iCs/>
        </w:rPr>
        <w:t xml:space="preserve">TT</w:t>
      </w:r>
      <w:r>
        <w:rPr>
          <w:rFonts w:ascii="Times New Roman" w:cs="Times New Roman" w:eastAsia="SimSun" w:hAnsi="Times New Roman"/>
        </w:rPr>
        <w:t xml:space="preserve"> 取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HH</w:t>
      </w:r>
      <w:r>
        <w:rPr>
          <w:rFonts w:ascii="Times New Roman" w:cs="Times New Roman" w:eastAsia="SimSun" w:hAnsi="Times New Roman"/>
        </w:rPr>
        <w:t xml:space="preserve"> 取 </w:t>
      </w:r>
      <w:r>
        <w:rPr>
          <w:rFonts w:ascii="Cambria Math" w:eastAsia="SimSun" w:hAnsi="Cambria Math"/>
          <w:i w:val="false"/>
          <w:iCs w:val="false"/>
        </w:rPr>
        <w:t xml:space="preserve">η</w:t>
      </w:r>
      <w:r>
        <w:rPr>
          <w:rFonts w:ascii="Times New Roman" w:cs="Times New Roman" w:eastAsia="SimSun" w:hAnsi="Times New Roman"/>
        </w:rPr>
        <w:t xml:space="preserve">、两个串联通道取 </w:t>
      </w:r>
      <w:r>
        <w:rPr>
          <w:rFonts w:ascii="Cambria Math" w:eastAsia="SimSun" w:hAnsi="Cambria Math"/>
          <w:i/>
          <w:iCs/>
        </w:rPr>
        <w:t xml:space="preserve">min</w:t>
      </w:r>
      <w:r>
        <w:rPr>
          <w:rFonts w:ascii="Cambria Math" w:eastAsia="SimSun" w:hAnsi="Cambria Math"/>
          <w:i w:val="false"/>
          <w:iCs w:val="false"/>
        </w:rPr>
        <w:t xml:space="preserve">(τ,η)</w:t>
      </w:r>
      <w:r>
        <w:rPr>
          <w:rFonts w:ascii="Times New Roman" w:cs="Times New Roman" w:eastAsia="SimSun" w:hAnsi="Times New Roman"/>
        </w:rPr>
        <w:t xml:space="preserve">）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)|,|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)|))</w:t>
      </w:r>
      <w:r>
        <w:rPr>
          <w:rFonts w:ascii="Cambria Math" w:eastAsia="SimSun" w:hAnsi="Cambria Math"/>
          <w:sz w:val="21"/>
          <w:szCs w:val="21"/>
        </w:rPr>
        <w:t xml:space="preserve">	(12)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聚合方式受一条硬约束限制。对固定的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逐节点计数可得四条求和规则，例如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T(e)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)-1), 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H(e)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(13)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其余两式同理。右端只依赖度序列，因此</w:t>
      </w:r>
      <w:r>
        <w:rPr>
          <w:rFonts w:ascii="Times New Roman" w:cs="Times New Roman" w:eastAsia="SimSun" w:hAnsi="Times New Roman"/>
          <w:b/>
          <w:bCs/>
        </w:rPr>
        <w:t xml:space="preserve">在保度约束下四个通道的重叠总量是常数</w:t>
      </w:r>
      <w:r>
        <w:rPr>
          <w:rFonts w:ascii="Times New Roman" w:cs="Times New Roman" w:eastAsia="SimSun" w:hAnsi="Times New Roman"/>
        </w:rPr>
        <w:t xml:space="preserve">；同质阶数下 (12) 的分母逐通道为常数，故无条件平均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同样被度序列锁死，无法作为可调参数。可变的是重叠的堆积方式——是让少数超边对深度共享，还是让共享摊薄到大量超边对上。据此定义条件平均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σσ'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=⟨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)≥1,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)=σ,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)=σ'  ⟩</w:t>
      </w:r>
      <w:r>
        <w:rPr>
          <w:rFonts w:ascii="Cambria Math" w:eastAsia="SimSun" w:hAnsi="Cambria Math"/>
          <w:sz w:val="21"/>
          <w:szCs w:val="21"/>
        </w:rPr>
        <w:t xml:space="preserve">	(14)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即在确实发生重叠的超边对上取平均，其中 </w:t>
      </w:r>
      <w:r>
        <w:rPr>
          <w:rFonts w:ascii="Cambria Math" w:eastAsia="SimSun" w:hAnsi="Cambria Math"/>
          <w:i w:val="false"/>
          <w:iCs w:val="false"/>
        </w:rPr>
        <w:t xml:space="preserve">σ(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)=(|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)|,|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)|)</w:t>
      </w:r>
      <w:r>
        <w:rPr>
          <w:rFonts w:ascii="Times New Roman" w:cs="Times New Roman" w:eastAsia="SimSun" w:hAnsi="Times New Roman"/>
        </w:rPr>
        <w:t xml:space="preserve"> 为超边的阶；该通道无重叠时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不定义。记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为该通道中发生重叠的超边对数，则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/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，常数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仅由度序列决定。因此调节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等价于调节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，这决定了第 V 节重连算法的实现方式。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式 (14) 中阶指标取对角块（</w:t>
      </w:r>
      <w:r>
        <w:rPr>
          <w:rFonts w:ascii="Cambria Math" w:eastAsia="SimSun" w:hAnsi="Cambria Math"/>
          <w:i w:val="false"/>
          <w:iCs w:val="false"/>
        </w:rPr>
        <w:t xml:space="preserve">σ=σ'</w:t>
      </w:r>
      <w:r>
        <w:rPr>
          <w:rFonts w:ascii="Times New Roman" w:cs="Times New Roman" w:eastAsia="SimSun" w:hAnsi="Times New Roman"/>
        </w:rPr>
        <w:t xml:space="preserve">）即阶内重叠、取非对角块即阶间重叠，与无向情形下超边重叠矩阵的对角/非对角划分一致 [28]；本文只是在其每个矩阵元上再展开出四个方向通道。同质阶数下阶指标退化，以下略去并简记为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；第 VII 节的真实数据阶数异质，届时阶指标重新生效。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互惠方向不由上述张量刻画。两条超边是否互相指回，取决于一组超边能否共同完成反向覆盖，这是超边级而非超边对级的判据。本文直接采用已有的强互惠定义 [34]：若存在一组超边，其尾集之并覆盖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且头集之并覆盖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，则称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被强互惠；取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⇄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被强互惠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(15)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采用这一定义是为了与已有测量口径一致，便于第 VII 节与真实数据的报告值并列。需要注意它与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不同类：退化关系 (11) 对它不成立，它也不进入第 IV 节转移算子的权重。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D. 方向翻转与宇称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定义全局方向翻转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为对所有超边交换尾集与头集，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⟼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</w:t>
      </w:r>
      <w:r>
        <w:rPr>
          <w:rFonts w:ascii="Cambria Math" w:eastAsia="SimSun" w:hAnsi="Cambria Math"/>
          <w:sz w:val="21"/>
          <w:szCs w:val="21"/>
        </w:rPr>
        <w:t xml:space="preserve">	(16)</w:t>
      </w:r>
    </w:p>
    <w:p>
      <w:pPr>
        <w:spacing w:after="120" w:before="120" w:line="320"/>
        <w:jc w:val="both"/>
      </w:pP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是有向超图空间上的对合（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id</w:t>
      </w:r>
      <w:r>
        <w:rPr>
          <w:rFonts w:ascii="Times New Roman" w:cs="Times New Roman" w:eastAsia="SimSun" w:hAnsi="Times New Roman"/>
        </w:rPr>
        <w:t xml:space="preserve">）。它把每个节点的入度与出度互换，把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η</w:t>
      </w:r>
      <w:r>
        <w:rPr>
          <w:rFonts w:ascii="Times New Roman" w:cs="Times New Roman" w:eastAsia="SimSun" w:hAnsi="Times New Roman"/>
        </w:rPr>
        <w:t xml:space="preserve"> 互换，并在四个重叠通道上作用为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 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↔α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↔α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TH</w:t>
      </w:r>
      <w:r>
        <w:rPr>
          <w:rFonts w:ascii="Cambria Math" w:eastAsia="SimSun" w:hAnsi="Cambria Math"/>
          <w:sz w:val="21"/>
          <w:szCs w:val="21"/>
        </w:rPr>
        <w:t xml:space="preserve">	(17)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两个串联通道并不独立。对有序超边对恒有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，故同质阶数下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HT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TH</w:t>
      </w:r>
      <w:r>
        <w:rPr>
          <w:rFonts w:ascii="Times New Roman" w:cs="Times New Roman" w:eastAsia="SimSun" w:hAnsi="Times New Roman"/>
        </w:rPr>
        <w:t xml:space="preserve"> 逐实现相等（异质阶数下互为阶指标的转置），串联方向只携带一个分量，记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Cambria Math" w:eastAsia="SimSun" w:hAnsi="Cambria Math"/>
          <w:i w:val="false"/>
          <w:iCs w:val="false"/>
        </w:rPr>
        <w:t xml:space="preserve">=α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HT</w:t>
      </w:r>
      <w:r>
        <w:rPr>
          <w:rFonts w:ascii="Times New Roman" w:cs="Times New Roman" w:eastAsia="SimSun" w:hAnsi="Times New Roman"/>
        </w:rPr>
        <w:t xml:space="preserve">。四个通道在聚合层面因而只有三个独立分量。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按宇称重组：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Times New Roman" w:cs="Times New Roman" w:eastAsia="SimSun" w:hAnsi="Times New Roman"/>
        </w:rPr>
        <w:t xml:space="preserve"> 与并联重叠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Cambria Math" w:eastAsia="SimSun" w:hAnsi="Cambria Math"/>
          <w:i w:val="false"/>
          <w:iCs w:val="false"/>
        </w:rPr>
        <w:t xml:space="preserve">=1/2(α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</w:rPr>
        <w:t xml:space="preserve">+α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下为偶，而极性失衡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Δα=1/2(α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(18)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为奇。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 必须在扫描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Times New Roman" w:cs="Times New Roman" w:eastAsia="SimSun" w:hAnsi="Times New Roman"/>
        </w:rPr>
        <w:t xml:space="preserve"> 或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时固定，否则三种效应混在同一条扫描线上。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下为</w:t>
      </w:r>
      <w:r>
        <w:rPr>
          <w:rFonts w:ascii="Times New Roman" w:cs="Times New Roman" w:eastAsia="SimSun" w:hAnsi="Times New Roman"/>
          <w:b/>
          <w:bCs/>
        </w:rPr>
        <w:t xml:space="preserve">偶</w:t>
      </w:r>
      <w:r>
        <w:rPr>
          <w:rFonts w:ascii="Times New Roman" w:cs="Times New Roman" w:eastAsia="SimSun" w:hAnsi="Times New Roman"/>
        </w:rPr>
        <w:t xml:space="preserve">：翻转互换每个节点的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，而 (4) 的 Pearson 相关系数对其两个变量对称，故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据此可把结构量按宇称分类。本文所用结构量中，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-奇者有三个：尾头基数之差 </w:t>
      </w:r>
      <w:r>
        <w:rPr>
          <w:rFonts w:ascii="Cambria Math" w:eastAsia="SimSun" w:hAnsi="Cambria Math"/>
          <w:i w:val="false"/>
          <w:iCs w:val="false"/>
        </w:rPr>
        <w:t xml:space="preserve">τ-η</w:t>
      </w:r>
      <w:r>
        <w:rPr>
          <w:rFonts w:ascii="Times New Roman" w:cs="Times New Roman" w:eastAsia="SimSun" w:hAnsi="Times New Roman"/>
        </w:rPr>
        <w:t xml:space="preserve">、联合度分布关于对角线的反对称部分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)-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，以及极性失衡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这一分类对终态有直接约束。设结构系综 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生成随机有向超图，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为 II.B 定义的条件期望爆发规模；由于种子均匀选取，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Times New Roman" w:cs="Times New Roman" w:eastAsia="SimSun" w:hAnsi="Times New Roman"/>
        </w:rPr>
        <w:t xml:space="preserve"> 的定义本身不引入方向偏好。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命题 1.</w:t>
      </w:r>
      <w:r>
        <w:rPr>
          <w:rFonts w:ascii="Times New Roman" w:cs="Times New Roman" w:eastAsia="SimSun" w:hAnsi="Times New Roman"/>
          <w:color w:val="3A4A5A"/>
        </w:rPr>
        <w:t xml:space="preserve"> 若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ℙ</w:t>
      </w:r>
      <w:r>
        <w:rPr>
          <w:rFonts w:ascii="Times New Roman" w:cs="Times New Roman" w:eastAsia="SimSun" w:hAnsi="Times New Roman"/>
          <w:color w:val="3A4A5A"/>
        </w:rPr>
        <w:t xml:space="preserve"> 在 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Times New Roman" w:cs="Times New Roman" w:eastAsia="SimSun" w:hAnsi="Times New Roman"/>
          <w:color w:val="3A4A5A"/>
        </w:rPr>
        <w:t xml:space="preserve"> 下不变，即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ℙ[</w:t>
      </w:r>
      <w:r>
        <w:rPr>
          <w:rFonts w:ascii="Cambria Math" w:eastAsia="SimSun" w:hAnsi="Cambria Math"/>
          <w:i/>
          <w:iCs/>
          <w:color w:val="3A4A5A"/>
        </w:rPr>
        <w:t xml:space="preserve">RH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]=ℙ[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]</w:t>
      </w:r>
      <w:r>
        <w:rPr>
          <w:rFonts w:ascii="Times New Roman" w:cs="Times New Roman" w:eastAsia="SimSun" w:hAnsi="Times New Roman"/>
          <w:color w:val="3A4A5A"/>
        </w:rPr>
        <w:t xml:space="preserve"> 对所有 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Times New Roman" w:cs="Times New Roman" w:eastAsia="SimSun" w:hAnsi="Times New Roman"/>
          <w:color w:val="3A4A5A"/>
        </w:rPr>
        <w:t xml:space="preserve"> 成立，则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⟨ </w:t>
      </w:r>
      <w:r>
        <w:rPr>
          <w:rFonts w:ascii="Cambria Math" w:eastAsia="SimSun" w:hAnsi="Cambria Math"/>
          <w:i/>
          <w:iCs/>
          <w:color w:val="3A4A5A"/>
        </w:rPr>
        <w:t xml:space="preserve">S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⟩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ℙ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=⟨ </w:t>
      </w:r>
      <w:r>
        <w:rPr>
          <w:rFonts w:ascii="Cambria Math" w:eastAsia="SimSun" w:hAnsi="Cambria Math"/>
          <w:i/>
          <w:iCs/>
          <w:color w:val="3A4A5A"/>
        </w:rPr>
        <w:t xml:space="preserve">S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∘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⟩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ℙ</w:t>
      </w:r>
      <w:r>
        <w:rPr>
          <w:rFonts w:ascii="Times New Roman" w:cs="Times New Roman" w:eastAsia="SimSun" w:hAnsi="Times New Roman"/>
          <w:color w:val="3A4A5A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证明只需一次换元：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是结构空间上的可测对合，故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命题 1 的逆否形式给出方向对称性破缺的必要条件：</w:t>
      </w:r>
      <w:r>
        <w:rPr>
          <w:rFonts w:ascii="Times New Roman" w:cs="Times New Roman" w:eastAsia="SimSun" w:hAnsi="Times New Roman"/>
          <w:b/>
          <w:bCs/>
        </w:rPr>
        <w:t xml:space="preserve">系综层面的破缺要求生成系综本身破坏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Times New Roman" w:cs="Times New Roman" w:eastAsia="SimSun" w:hAnsi="Times New Roman"/>
          <w:b/>
          <w:bCs/>
        </w:rPr>
        <w:t xml:space="preserve">-不变性</w:t>
      </w:r>
      <w:r>
        <w:rPr>
          <w:rFonts w:ascii="Times New Roman" w:cs="Times New Roman" w:eastAsia="SimSun" w:hAnsi="Times New Roman"/>
        </w:rPr>
        <w:t xml:space="preserve">。在本文所用结构量中，能承载这一破坏的只有上述三个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-奇量。</w:t>
      </w:r>
    </w:p>
    <w:p>
      <w:pPr>
        <w:spacing w:after="120" w:before="120" w:line="320"/>
        <w:jc w:val="both"/>
      </w:pP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因而不能单独产生破缺。</w:t>
      </w:r>
      <w:r>
        <w:rPr>
          <w:rFonts w:ascii="Cambria Math" w:eastAsia="SimSun" w:hAnsi="Cambria Math"/>
          <w:i w:val="false"/>
          <w:iCs w:val="false"/>
        </w:rPr>
        <w:t xml:space="preserve">τ=η</w:t>
      </w:r>
      <w:r>
        <w:rPr>
          <w:rFonts w:ascii="Times New Roman" w:cs="Times New Roman" w:eastAsia="SimSun" w:hAnsi="Times New Roman"/>
        </w:rPr>
        <w:t xml:space="preserve"> 且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Times New Roman" w:cs="Times New Roman" w:eastAsia="SimSun" w:hAnsi="Times New Roman"/>
        </w:rPr>
        <w:t xml:space="preserve"> 关于对角线对称的位形模型系综是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-不变的，而以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-偶量为目标的定向重连保持该不变性；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扫描正属此类，故其系综平均的爆发规模在方向翻转下必然相同——尽管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确实移动阈值。这决定了第 VI 节破缺实验的设计：固定前两个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-奇量为零，只扫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，并以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扫描作为无破缺的阴性对照。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命题 1 是关于系综平均的陈述。对单个实现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一般不等，其差为有限尺寸涨落，随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增大而趋零。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S. H. Strogatz, D. J. Watts,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64</w:t>
      </w:r>
      <w:r>
        <w:rPr>
          <w:rFonts w:ascii="Times New Roman" w:cs="Times New Roman" w:eastAsia="SimSun" w:hAnsi="Times New Roman"/>
        </w:rPr>
        <w:t xml:space="preserve">, 026118 (2001). doi:10.1103/PhysRevE.64.026118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66</w:t>
      </w:r>
      <w:r>
        <w:rPr>
          <w:rFonts w:ascii="Times New Roman" w:cs="Times New Roman" w:eastAsia="SimSun" w:hAnsi="Times New Roman"/>
        </w:rPr>
        <w:t xml:space="preserve">, 016128 (2002). doi:10.1103/PhysRevE.66.016128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Grassberger, </w:t>
      </w:r>
      <w:r>
        <w:rPr>
          <w:rFonts w:ascii="Times New Roman" w:cs="Times New Roman" w:eastAsia="SimSun" w:hAnsi="Times New Roman"/>
          <w:i/>
          <w:iCs/>
        </w:rPr>
        <w:t xml:space="preserve">Mathematical Biosciences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63</w:t>
      </w:r>
      <w:r>
        <w:rPr>
          <w:rFonts w:ascii="Times New Roman" w:cs="Times New Roman" w:eastAsia="SimSun" w:hAnsi="Times New Roman"/>
        </w:rPr>
        <w:t xml:space="preserve">, 157–172 (1983). doi:10.1016/0025-5564(82)90036-0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R. Pastor-Satorras, A. Vespignani,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86</w:t>
      </w:r>
      <w:r>
        <w:rPr>
          <w:rFonts w:ascii="Times New Roman" w:cs="Times New Roman" w:eastAsia="SimSun" w:hAnsi="Times New Roman"/>
        </w:rPr>
        <w:t xml:space="preserve">, 3200–3203 (2001). doi:10.1103/PhysRevLett.86.3200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E. Kenah, J. M. Robins,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76</w:t>
      </w:r>
      <w:r>
        <w:rPr>
          <w:rFonts w:ascii="Times New Roman" w:cs="Times New Roman" w:eastAsia="SimSun" w:hAnsi="Times New Roman"/>
        </w:rPr>
        <w:t xml:space="preserve">, 036113 (2007). doi:10.1103/PhysRevE.76.036113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E. Volz, </w:t>
      </w:r>
      <w:r>
        <w:rPr>
          <w:rFonts w:ascii="Times New Roman" w:cs="Times New Roman" w:eastAsia="SimSun" w:hAnsi="Times New Roman"/>
          <w:i/>
          <w:iCs/>
        </w:rPr>
        <w:t xml:space="preserve">Journal of Mathematical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56</w:t>
      </w:r>
      <w:r>
        <w:rPr>
          <w:rFonts w:ascii="Times New Roman" w:cs="Times New Roman" w:eastAsia="SimSun" w:hAnsi="Times New Roman"/>
        </w:rPr>
        <w:t xml:space="preserve">, 293–310 (2008). doi:10.1007/s00285-007-0116-4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C. Miller, A. C. Slim, E. M. Volz, </w:t>
      </w:r>
      <w:r>
        <w:rPr>
          <w:rFonts w:ascii="Times New Roman" w:cs="Times New Roman" w:eastAsia="SimSun" w:hAnsi="Times New Roman"/>
          <w:i/>
          <w:iCs/>
        </w:rPr>
        <w:t xml:space="preserve">Journal of the Royal Society Interface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, 890–906 (2012). doi:10.1098/rsif.2011.0403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Van Mieghem, R. van de Bovenkamp,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110</w:t>
      </w:r>
      <w:r>
        <w:rPr>
          <w:rFonts w:ascii="Times New Roman" w:cs="Times New Roman" w:eastAsia="SimSun" w:hAnsi="Times New Roman"/>
        </w:rPr>
        <w:t xml:space="preserve">, 108701 (2013). doi:10.1103/PhysRevLett.110.108701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R. Pastor-Satorras, C. Castellano, P. Van Mieghem, A. Vespignani, </w:t>
      </w:r>
      <w:r>
        <w:rPr>
          <w:rFonts w:ascii="Times New Roman" w:cs="Times New Roman" w:eastAsia="SimSun" w:hAnsi="Times New Roman"/>
          <w:i/>
          <w:iCs/>
        </w:rPr>
        <w:t xml:space="preserve">Reviews of Modern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87</w:t>
      </w:r>
      <w:r>
        <w:rPr>
          <w:rFonts w:ascii="Times New Roman" w:cs="Times New Roman" w:eastAsia="SimSun" w:hAnsi="Times New Roman"/>
        </w:rPr>
        <w:t xml:space="preserve">, 925–979 (2015). doi:10.1103/RevModPhys.87.925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N. Dorogovtsev, J. F. F. Mendes, A. N. Samukhin,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64</w:t>
      </w:r>
      <w:r>
        <w:rPr>
          <w:rFonts w:ascii="Times New Roman" w:cs="Times New Roman" w:eastAsia="SimSun" w:hAnsi="Times New Roman"/>
        </w:rPr>
        <w:t xml:space="preserve">, 025101 (2001). doi:10.1103/PhysRevE.64.025101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Boguñá, M. Á. Serrano,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72</w:t>
      </w:r>
      <w:r>
        <w:rPr>
          <w:rFonts w:ascii="Times New Roman" w:cs="Times New Roman" w:eastAsia="SimSun" w:hAnsi="Times New Roman"/>
        </w:rPr>
        <w:t xml:space="preserve">, 016106 (2005). doi:10.1103/PhysRevE.72.016106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L. A. Meyers, M. E. J. Newman, B. Pourbohloul, </w:t>
      </w:r>
      <w:r>
        <w:rPr>
          <w:rFonts w:ascii="Times New Roman" w:cs="Times New Roman" w:eastAsia="SimSun" w:hAnsi="Times New Roman"/>
          <w:i/>
          <w:iCs/>
        </w:rPr>
        <w:t xml:space="preserve">Journal of Theoretical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240</w:t>
      </w:r>
      <w:r>
        <w:rPr>
          <w:rFonts w:ascii="Times New Roman" w:cs="Times New Roman" w:eastAsia="SimSun" w:hAnsi="Times New Roman"/>
        </w:rPr>
        <w:t xml:space="preserve">, 400–418 (2006). doi:10.1016/j.jtbi.2005.10.004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X. J. Xu, J. Y. Li, X. Fu, L. J. Zhang, </w:t>
      </w:r>
      <w:r>
        <w:rPr>
          <w:rFonts w:ascii="Times New Roman" w:cs="Times New Roman" w:eastAsia="SimSun" w:hAnsi="Times New Roman"/>
          <w:i/>
          <w:iCs/>
        </w:rPr>
        <w:t xml:space="preserve">Scientific Reports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</w:t>
      </w:r>
      <w:r>
        <w:rPr>
          <w:rFonts w:ascii="Times New Roman" w:cs="Times New Roman" w:eastAsia="SimSun" w:hAnsi="Times New Roman"/>
        </w:rPr>
        <w:t xml:space="preserve"> (2018). doi:10.1038/s41598-018-22508-1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89</w:t>
      </w:r>
      <w:r>
        <w:rPr>
          <w:rFonts w:ascii="Times New Roman" w:cs="Times New Roman" w:eastAsia="SimSun" w:hAnsi="Times New Roman"/>
        </w:rPr>
        <w:t xml:space="preserve">, 208701 (2002). doi:10.1103/PhysRevLett.89.208701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Battiston, G. Cencetti, I. Iacopini, V. Latora, M. Lucas, A. Patania, J. G. Young, G. Petri, </w:t>
      </w:r>
      <w:r>
        <w:rPr>
          <w:rFonts w:ascii="Times New Roman" w:cs="Times New Roman" w:eastAsia="SimSun" w:hAnsi="Times New Roman"/>
          <w:i/>
          <w:iCs/>
        </w:rPr>
        <w:t xml:space="preserve">Physics Reports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874</w:t>
      </w:r>
      <w:r>
        <w:rPr>
          <w:rFonts w:ascii="Times New Roman" w:cs="Times New Roman" w:eastAsia="SimSun" w:hAnsi="Times New Roman"/>
        </w:rPr>
        <w:t xml:space="preserve">, 1–92 (2020). doi:10.1016/j.physrep.2020.05.004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Battiston, E. Amico, A. Barrat, G. Bianconi, G. Ferraz de Arruda, B. Franceschiello, I. Iacopini, S. Kéfi et al., </w:t>
      </w:r>
      <w:r>
        <w:rPr>
          <w:rFonts w:ascii="Times New Roman" w:cs="Times New Roman" w:eastAsia="SimSun" w:hAnsi="Times New Roman"/>
          <w:i/>
          <w:iCs/>
        </w:rPr>
        <w:t xml:space="preserve">Nature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17</w:t>
      </w:r>
      <w:r>
        <w:rPr>
          <w:rFonts w:ascii="Times New Roman" w:cs="Times New Roman" w:eastAsia="SimSun" w:hAnsi="Times New Roman"/>
        </w:rPr>
        <w:t xml:space="preserve">, 1093–1098 (2021). doi:10.1038/s41567-021-01371-4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A. R. Benson, R. Abebe, M. T. Schaub, A. Jadbabaie, J. Kleinberg, </w:t>
      </w:r>
      <w:r>
        <w:rPr>
          <w:rFonts w:ascii="Times New Roman" w:cs="Times New Roman" w:eastAsia="SimSun" w:hAnsi="Times New Roman"/>
          <w:i/>
          <w:iCs/>
        </w:rPr>
        <w:t xml:space="preserve">Proceedings of the National Academy of Sciences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115</w:t>
      </w:r>
      <w:r>
        <w:rPr>
          <w:rFonts w:ascii="Times New Roman" w:cs="Times New Roman" w:eastAsia="SimSun" w:hAnsi="Times New Roman"/>
        </w:rPr>
        <w:t xml:space="preserve">, E11221–E11230 (2018). doi:10.1073/pnas.1800683115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I. Iacopini, G. Petri, A. Barrat, V. Latora, </w:t>
      </w:r>
      <w:r>
        <w:rPr>
          <w:rFonts w:ascii="Times New Roman" w:cs="Times New Roman" w:eastAsia="SimSun" w:hAnsi="Times New Roman"/>
          <w:i/>
          <w:iCs/>
        </w:rPr>
        <w:t xml:space="preserve">Nature Communications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10</w:t>
      </w:r>
      <w:r>
        <w:rPr>
          <w:rFonts w:ascii="Times New Roman" w:cs="Times New Roman" w:eastAsia="SimSun" w:hAnsi="Times New Roman"/>
        </w:rPr>
        <w:t xml:space="preserve">, 2485 (2019). doi:10.1038/s41467-019-10431-6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Ferraz de Arruda, G. Petri, Y. Moreno, </w:t>
      </w:r>
      <w:r>
        <w:rPr>
          <w:rFonts w:ascii="Times New Roman" w:cs="Times New Roman" w:eastAsia="SimSun" w:hAnsi="Times New Roman"/>
          <w:i/>
          <w:iCs/>
        </w:rPr>
        <w:t xml:space="preserve">Physical Review Research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2</w:t>
      </w:r>
      <w:r>
        <w:rPr>
          <w:rFonts w:ascii="Times New Roman" w:cs="Times New Roman" w:eastAsia="SimSun" w:hAnsi="Times New Roman"/>
        </w:rPr>
        <w:t xml:space="preserve">, 023032 (2020). doi:10.1103/PhysRevResearch.2.023032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St-Onge, H. Sun, A. Allard, L. Hébert-Dufresne, G. Bianconi,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127</w:t>
      </w:r>
      <w:r>
        <w:rPr>
          <w:rFonts w:ascii="Times New Roman" w:cs="Times New Roman" w:eastAsia="SimSun" w:hAnsi="Times New Roman"/>
        </w:rPr>
        <w:t xml:space="preserve">, 158301 (2021). doi:10.1103/PhysRevLett.127.158301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J. Watts, </w:t>
      </w:r>
      <w:r>
        <w:rPr>
          <w:rFonts w:ascii="Times New Roman" w:cs="Times New Roman" w:eastAsia="SimSun" w:hAnsi="Times New Roman"/>
          <w:i/>
          <w:iCs/>
        </w:rPr>
        <w:t xml:space="preserve">Proceedings of the National Academy of Sciences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99</w:t>
      </w:r>
      <w:r>
        <w:rPr>
          <w:rFonts w:ascii="Times New Roman" w:cs="Times New Roman" w:eastAsia="SimSun" w:hAnsi="Times New Roman"/>
        </w:rPr>
        <w:t xml:space="preserve">, 5766–5771 (2002). doi:10.1073/pnas.082090499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Centola, M. Macy, </w:t>
      </w:r>
      <w:r>
        <w:rPr>
          <w:rFonts w:ascii="Times New Roman" w:cs="Times New Roman" w:eastAsia="SimSun" w:hAnsi="Times New Roman"/>
          <w:i/>
          <w:iCs/>
        </w:rPr>
        <w:t xml:space="preserve">American Journal of Sociology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113</w:t>
      </w:r>
      <w:r>
        <w:rPr>
          <w:rFonts w:ascii="Times New Roman" w:cs="Times New Roman" w:eastAsia="SimSun" w:hAnsi="Times New Roman"/>
        </w:rPr>
        <w:t xml:space="preserve">, 702–734 (2007). doi:10.1086/521848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N. W. Landry, J. G. Restrepo, </w:t>
      </w:r>
      <w:r>
        <w:rPr>
          <w:rFonts w:ascii="Times New Roman" w:cs="Times New Roman" w:eastAsia="SimSun" w:hAnsi="Times New Roman"/>
          <w:i/>
          <w:iCs/>
        </w:rPr>
        <w:t xml:space="preserve">Chaos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30</w:t>
      </w:r>
      <w:r>
        <w:rPr>
          <w:rFonts w:ascii="Times New Roman" w:cs="Times New Roman" w:eastAsia="SimSun" w:hAnsi="Times New Roman"/>
        </w:rPr>
        <w:t xml:space="preserve">, 103117 (2020). doi:10.1063/5.0020034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Mancastroppa, I. Iacopini, G. Petri, A. Barrat, </w:t>
      </w:r>
      <w:r>
        <w:rPr>
          <w:rFonts w:ascii="Times New Roman" w:cs="Times New Roman" w:eastAsia="SimSun" w:hAnsi="Times New Roman"/>
          <w:i/>
          <w:iCs/>
        </w:rPr>
        <w:t xml:space="preserve">Nature Communications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14</w:t>
      </w:r>
      <w:r>
        <w:rPr>
          <w:rFonts w:ascii="Times New Roman" w:cs="Times New Roman" w:eastAsia="SimSun" w:hAnsi="Times New Roman"/>
        </w:rPr>
        <w:t xml:space="preserve">, 6223 (2023). doi:10.1038/s41467-023-41887-2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H. Kim, K. I. Goh,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132</w:t>
      </w:r>
      <w:r>
        <w:rPr>
          <w:rFonts w:ascii="Times New Roman" w:cs="Times New Roman" w:eastAsia="SimSun" w:hAnsi="Times New Roman"/>
        </w:rPr>
        <w:t xml:space="preserve">, 087401 (2024). doi:10.1103/PhysRevLett.132.087401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St-Onge, I. Iacopini, V. Latora, A. Barrat, G. Petri, A. Allard, L. Hébert-Dufresne,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5</w:t>
      </w:r>
      <w:r>
        <w:rPr>
          <w:rFonts w:ascii="Times New Roman" w:cs="Times New Roman" w:eastAsia="SimSun" w:hAnsi="Times New Roman"/>
        </w:rPr>
        <w:t xml:space="preserve">, 25 (2022). doi:10.1038/s42005-021-00788-w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Malizia, S. Lamata-Otín, M. Frasca, V. Latora, J. Gómez-Gardeñes, </w:t>
      </w:r>
      <w:r>
        <w:rPr>
          <w:rFonts w:ascii="Times New Roman" w:cs="Times New Roman" w:eastAsia="SimSun" w:hAnsi="Times New Roman"/>
          <w:i/>
          <w:iCs/>
        </w:rPr>
        <w:t xml:space="preserve">Nature Communications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16</w:t>
      </w:r>
      <w:r>
        <w:rPr>
          <w:rFonts w:ascii="Times New Roman" w:cs="Times New Roman" w:eastAsia="SimSun" w:hAnsi="Times New Roman"/>
        </w:rPr>
        <w:t xml:space="preserve"> (2025). doi:10.1038/s41467-024-55506-1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Lamata-Otín, F. Malizia, V. Latora, M. Frasca, J. Gómez-Gardeñes,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111</w:t>
      </w:r>
      <w:r>
        <w:rPr>
          <w:rFonts w:ascii="Times New Roman" w:cs="Times New Roman" w:eastAsia="SimSun" w:hAnsi="Times New Roman"/>
        </w:rPr>
        <w:t xml:space="preserve">, 034302 (2025). doi:10.1103/PhysRevE.111.034302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Malizia, A. Guzmán, I. Iacopini, I. Z. Kiss,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 (2025). doi:10.1103/z3d5-94zb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Bianconi, S. N. Dorogovtsev,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109</w:t>
      </w:r>
      <w:r>
        <w:rPr>
          <w:rFonts w:ascii="Times New Roman" w:cs="Times New Roman" w:eastAsia="SimSun" w:hAnsi="Times New Roman"/>
        </w:rPr>
        <w:t xml:space="preserve">, 014306 (2024). doi:10.1103/PhysRevE.109.014306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Ferraz de Arruda, A. Aleta, Y. Moreno, </w:t>
      </w:r>
      <w:r>
        <w:rPr>
          <w:rFonts w:ascii="Times New Roman" w:cs="Times New Roman" w:eastAsia="SimSun" w:hAnsi="Times New Roman"/>
          <w:i/>
          <w:iCs/>
        </w:rPr>
        <w:t xml:space="preserve">Nature Reviews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</w:t>
      </w:r>
      <w:r>
        <w:rPr>
          <w:rFonts w:ascii="Times New Roman" w:cs="Times New Roman" w:eastAsia="SimSun" w:hAnsi="Times New Roman"/>
        </w:rPr>
        <w:t xml:space="preserve">, 468–482 (2024). doi:10.1038/s42254-024-00733-0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Gallo, G. Longo, S. Pallottino, S. Nguyen, </w:t>
      </w:r>
      <w:r>
        <w:rPr>
          <w:rFonts w:ascii="Times New Roman" w:cs="Times New Roman" w:eastAsia="SimSun" w:hAnsi="Times New Roman"/>
          <w:i/>
          <w:iCs/>
        </w:rPr>
        <w:t xml:space="preserve">Discrete Applied Mathematics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42</w:t>
      </w:r>
      <w:r>
        <w:rPr>
          <w:rFonts w:ascii="Times New Roman" w:cs="Times New Roman" w:eastAsia="SimSun" w:hAnsi="Times New Roman"/>
        </w:rPr>
        <w:t xml:space="preserve">, 177–201 (1993). doi:10.1016/0166-218X(93)90045-P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Klamt, U. U. Haus, F. Theis, </w:t>
      </w:r>
      <w:r>
        <w:rPr>
          <w:rFonts w:ascii="Times New Roman" w:cs="Times New Roman" w:eastAsia="SimSun" w:hAnsi="Times New Roman"/>
          <w:i/>
          <w:iCs/>
        </w:rPr>
        <w:t xml:space="preserve">PLoS Computational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5</w:t>
      </w:r>
      <w:r>
        <w:rPr>
          <w:rFonts w:ascii="Times New Roman" w:cs="Times New Roman" w:eastAsia="SimSun" w:hAnsi="Times New Roman"/>
        </w:rPr>
        <w:t xml:space="preserve">, e1000385 (2009). doi:10.1371/journal.pcbi.1000385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Q. F. Lotito, A. Vendramini, A. Montresor, F. Battiston,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 (2026). doi:10.1038/s42005-025-02472-9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Kim, M. Choe, J. Yoo, K. Shin, </w:t>
      </w:r>
      <w:r>
        <w:rPr>
          <w:rFonts w:ascii="Times New Roman" w:cs="Times New Roman" w:eastAsia="SimSun" w:hAnsi="Times New Roman"/>
          <w:i/>
          <w:iCs/>
        </w:rPr>
        <w:t xml:space="preserve">Data Mining and Knowledge Discovery</w:t>
      </w:r>
      <w:r>
        <w:rPr>
          <w:rFonts w:ascii="Times New Roman" w:cs="Times New Roman" w:eastAsia="SimSun" w:hAnsi="Times New Roman"/>
        </w:rPr>
        <w:t xml:space="preserve"> (2023). doi:10.1007/s10618-023-00955-3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Lee, M. Choe, K. Shin, </w:t>
      </w:r>
      <w:r>
        <w:rPr>
          <w:rFonts w:ascii="Times New Roman" w:cs="Times New Roman" w:eastAsia="SimSun" w:hAnsi="Times New Roman"/>
          <w:i/>
          <w:iCs/>
        </w:rPr>
        <w:t xml:space="preserve">Proceedings of the Web Conference 2021</w:t>
      </w:r>
      <w:r>
        <w:rPr>
          <w:rFonts w:ascii="Times New Roman" w:cs="Times New Roman" w:eastAsia="SimSun" w:hAnsi="Times New Roman"/>
        </w:rPr>
        <w:t xml:space="preserve"> (2021). doi:10.1145/3442381.3450010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S. Chodrow, </w:t>
      </w:r>
      <w:r>
        <w:rPr>
          <w:rFonts w:ascii="Times New Roman" w:cs="Times New Roman" w:eastAsia="SimSun" w:hAnsi="Times New Roman"/>
          <w:i/>
          <w:iCs/>
        </w:rPr>
        <w:t xml:space="preserve">Journal of Complex Networks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</w:t>
      </w:r>
      <w:r>
        <w:rPr>
          <w:rFonts w:ascii="Times New Roman" w:cs="Times New Roman" w:eastAsia="SimSun" w:hAnsi="Times New Roman"/>
        </w:rPr>
        <w:t xml:space="preserve">, cnaa018 (2020). doi:10.1093/comnet/cnaa018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K. Nakajima, K. Shudo, N. Masuda, </w:t>
      </w:r>
      <w:r>
        <w:rPr>
          <w:rFonts w:ascii="Times New Roman" w:cs="Times New Roman" w:eastAsia="SimSun" w:hAnsi="Times New Roman"/>
          <w:i/>
          <w:iCs/>
        </w:rPr>
        <w:t xml:space="preserve">IEEE Transactions on Network Science and Engineering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, 1139–1153 (2022). doi:10.1109/TNSE.2021.3133380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Y. J. Kraakman, C. Stegehuis, </w:t>
      </w:r>
      <w:r>
        <w:rPr>
          <w:rFonts w:ascii="Times New Roman" w:cs="Times New Roman" w:eastAsia="SimSun" w:hAnsi="Times New Roman"/>
          <w:i/>
          <w:iCs/>
        </w:rPr>
        <w:t xml:space="preserve">Discrete Mathematics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349</w:t>
      </w:r>
      <w:r>
        <w:rPr>
          <w:rFonts w:ascii="Times New Roman" w:cs="Times New Roman" w:eastAsia="SimSun" w:hAnsi="Times New Roman"/>
        </w:rPr>
        <w:t xml:space="preserve">, 114961 (2026). doi:10.1016/j.disc.2025.114961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Abuissa, M. Riondato, E. Upfal, </w:t>
      </w:r>
      <w:r>
        <w:rPr>
          <w:rFonts w:ascii="Times New Roman" w:cs="Times New Roman" w:eastAsia="SimSun" w:hAnsi="Times New Roman"/>
          <w:i/>
          <w:iCs/>
        </w:rPr>
        <w:t xml:space="preserve">Data Mining and Knowledge Discovery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40</w:t>
      </w:r>
      <w:r>
        <w:rPr>
          <w:rFonts w:ascii="Times New Roman" w:cs="Times New Roman" w:eastAsia="SimSun" w:hAnsi="Times New Roman"/>
        </w:rPr>
        <w:t xml:space="preserve"> (2026). doi:10.1007/s10618-026-01209-8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Li, X. Wu, J. Lü, L. Lei,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</w:t>
      </w:r>
      <w:r>
        <w:rPr>
          <w:rFonts w:ascii="Times New Roman" w:cs="Times New Roman" w:eastAsia="SimSun" w:hAnsi="Times New Roman"/>
        </w:rPr>
        <w:t xml:space="preserve"> (2024). doi:10.1038/s42005-024-01614-9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T. Gillespie, </w:t>
      </w:r>
      <w:r>
        <w:rPr>
          <w:rFonts w:ascii="Times New Roman" w:cs="Times New Roman" w:eastAsia="SimSun" w:hAnsi="Times New Roman"/>
          <w:i/>
          <w:iCs/>
        </w:rPr>
        <w:t xml:space="preserve">The Journal of Physical Chemistry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81</w:t>
      </w:r>
      <w:r>
        <w:rPr>
          <w:rFonts w:ascii="Times New Roman" w:cs="Times New Roman" w:eastAsia="SimSun" w:hAnsi="Times New Roman"/>
        </w:rPr>
        <w:t xml:space="preserve">, 2340–2361 (1977). doi:10.1021/j100540a008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N. Dorogovtsev, A. V. Goltsev, J. F. F. Mendes,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96</w:t>
      </w:r>
      <w:r>
        <w:rPr>
          <w:rFonts w:ascii="Times New Roman" w:cs="Times New Roman" w:eastAsia="SimSun" w:hAnsi="Times New Roman"/>
        </w:rPr>
        <w:t xml:space="preserve">, 040601 (2006). doi:10.1103/PhysRevLett.96.040601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J. Baxter, S. N. Dorogovtsev, A. V. Goltsev, J. F. F. Mendes,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82</w:t>
      </w:r>
      <w:r>
        <w:rPr>
          <w:rFonts w:ascii="Times New Roman" w:cs="Times New Roman" w:eastAsia="SimSun" w:hAnsi="Times New Roman"/>
        </w:rPr>
        <w:t xml:space="preserve">, 011103 (2010). doi:10.1103/PhysRevE.82.011103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H. Sun, G. Bianconi,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104</w:t>
      </w:r>
      <w:r>
        <w:rPr>
          <w:rFonts w:ascii="Times New Roman" w:cs="Times New Roman" w:eastAsia="SimSun" w:hAnsi="Times New Roman"/>
        </w:rPr>
        <w:t xml:space="preserve">, 034306 (2021). doi:10.1103/PhysRevE.104.034306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2026-08-08T14:47:45.368Z</dcterms:created>
  <dcterms:modified xsi:type="dcterms:W3CDTF">2026-08-08T14:47:45.371Z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