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，对全部尾槽与头槽做均匀随机配对，再修复违规超边；具体实现与均匀性讨论见第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[1]。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[2, 3]。两者的渗流对应物不同，将在第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是本文唯一的动力学控制参数，爆发阈值指其临界值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初始条件取单个均匀随机选取的种子节点感染、其余易感。有限系统几乎必然在有限时间内到达无感染者的吸收态；记该吸收态中康复节点的占比为爆发规模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对动力学随机性与种子选取的条件期望。种子分布均匀因而与超边方向无关，这一点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[5, 6]；引入尾/头之分后，共享节点在两条超边中各自扮演的角色也成为信息。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[6]；本文只是在其每个矩阵元上再展开出四个方向通道。同质阶数下阶指标退化，以下略去并简记为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[7]：若存在一组超边，其尾集之并覆盖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必须在扫描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或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时固定，否则三种效应混在同一条扫描线上。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-奇者有三个：尾头基数之差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、联合度分布关于对角线的反对称部分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)-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。在本文所用结构量中，能承载这一破坏的只有上述三个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-奇量。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因而不能单独产生破缺。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且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 关于对角线对称的位形模型系综是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-不变的，而以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-偶量为目标的定向重连保持该不变性；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扫描正属此类，故其系综平均的爆发规模在方向翻转下必然相同——尽管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确实移动阈值。这决定了第 VI 节破缺实验的设计：固定前两个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-奇量为零，只扫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，并以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扫描作为无破缺的阴性对照。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2026-08-08T14:47:45.724Z</dcterms:created>
  <dcterms:modified xsi:type="dcterms:W3CDTF">2026-08-08T14:47:45.724Z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