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用私有数据的话，选哪些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对应大纲 1.1（真实数据）· 第 VII 部分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前提：目标期刊已定为物理刊，短工期路线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先说一件会改变期刊选择的事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用私有数据，</w:t>
      </w:r>
      <w:r>
        <w:rPr>
          <w:rFonts w:ascii="Times New Roman" w:cs="Times New Roman" w:eastAsia="SimSun" w:hAnsi="Times New Roman"/>
          <w:b/>
          <w:bCs/>
        </w:rPr>
        <w:t xml:space="preserve">PRE 与 Communications Physics 的风险差别很大</w:t>
      </w:r>
      <w:r>
        <w:rPr>
          <w:rFonts w:ascii="Times New Roman" w:cs="Times New Roman" w:eastAsia="SimSun" w:hAnsi="Times New Roman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Physical Review E（APS）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Communications Physics（Springer Nature）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数据可得性声明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强制，从预设选项中选一条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强制，须随稿提交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数据不能公开时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须给出理由，并同意应要求向编辑/审稿人私下共享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须在投稿时向编辑披露全部限制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对录用的影响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明确声明：只要满足上述两条，是否公开共享数据不影响录用决定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编辑保留权利：若认为限制"过度妨碍"，可直接拒稿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结论：若第 VII 部分用私有数据，优先投 PRE。</w:t>
      </w:r>
      <w:r>
        <w:rPr>
          <w:rFonts w:ascii="Times New Roman" w:cs="Times New Roman" w:eastAsia="SimSun" w:hAnsi="Times New Roman"/>
        </w:rPr>
        <w:t xml:space="preserve"> APS 的政策把"不公开"明确排除在录用判据之外，Springer Nature 则把它留成编辑的自由裁量。这一条足以在两刊之间做决定——而你之前倾向的 Communications Physics 恰好是风险更高的那个（还叠加了 [li2024directed] 同刊、审稿人可能是原作者组的风险）。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另需注意：两刊都要求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能向审稿人提供数据</w:t>
      </w:r>
      <w:r>
        <w:rPr>
          <w:rFonts w:ascii="Times New Roman" w:cs="Times New Roman" w:eastAsia="SimSun" w:hAnsi="Times New Roman"/>
          <w:color w:val="3A4A5A"/>
        </w:rPr>
        <w:t xml:space="preserve">。如果私有数据连审稿人都不能看（涉密、合规禁止），那不是"投哪家"的问题，而是这份数据不能用来支撑论文的核心主张——只能降级为定性佐证。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本文对数据的硬性要求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不是任何有向超图都能撑起第 VII 部分。按模型倒推，四条硬要求：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尾/头语义必须是"影响的施加方向"，不能只是"关系的方向"。</w:t>
      </w:r>
      <w:r>
        <w:rPr>
          <w:rFonts w:ascii="Times New Roman" w:cs="Times New Roman" w:eastAsia="SimSun" w:hAnsi="Times New Roman"/>
        </w:rPr>
        <w:t xml:space="preserve"> SIR 的语义是尾集感染 → 对头集施压。数据里的箭头必须能读成这个意思，否则整章是错配。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重叠必须非平凡。</w:t>
      </w:r>
      <w:r>
        <w:rPr>
          <w:rFonts w:ascii="Times New Roman" w:cs="Times New Roman" w:eastAsia="SimSun" w:hAnsi="Times New Roman"/>
        </w:rPr>
        <w:t xml:space="preserve"> 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是 VI.1/VI.2 的主轴。若数据近似树状、超边之间几乎不共享节点，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全为零，核心结果没有数据支撑。</w:t>
      </w:r>
      <w:r>
        <w:rPr>
          <w:rFonts w:ascii="Times New Roman" w:cs="Times New Roman" w:eastAsia="SimSun" w:hAnsi="Times New Roman"/>
          <w:b/>
          <w:bCs/>
        </w:rPr>
        <w:t xml:space="preserve">这是筛选第一关。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τ&gt;1</w:t>
      </w:r>
      <w:r>
        <w:rPr>
          <w:rFonts w:ascii="Times New Roman" w:cs="Times New Roman" w:eastAsia="SimSun" w:hAnsi="Times New Roman"/>
          <w:b/>
          <w:bCs/>
        </w:rPr>
        <w:t xml:space="preserve"> 且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η&gt;1</w:t>
      </w:r>
      <w:r>
        <w:rPr>
          <w:rFonts w:ascii="Times New Roman" w:cs="Times New Roman" w:eastAsia="SimSun" w:hAnsi="Times New Roman"/>
          <w:b/>
          <w:bCs/>
        </w:rPr>
        <w:t xml:space="preserve">（至少尾侧要大于 1）。</w:t>
      </w:r>
      <w:r>
        <w:rPr>
          <w:rFonts w:ascii="Times New Roman" w:cs="Times New Roman" w:eastAsia="SimSun" w:hAnsi="Times New Roman"/>
        </w:rPr>
        <w:t xml:space="preserve"> 若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（单一发送方），模型退化为 III.3 的 sanity-check 情形，高阶卖点被削掉一半。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Δα=1/2(α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-α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)≠0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这是方向对称性破缺（C4）唯一的实测抓手。若数据里共发与共收重叠恰好相当，破缺一章没有真实数据可对照。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规模上：节点数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3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量级即可（生成器自检用的是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=3000</w:t>
      </w:r>
      <w:r>
        <w:rPr>
          <w:rFonts w:ascii="Times New Roman" w:cs="Times New Roman" w:eastAsia="SimSun" w:hAnsi="Times New Roman"/>
        </w:rPr>
        <w:t xml:space="preserve">），超边数不宜少于节点数。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私有数据类型排序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A 档：代谢 / 化学反应网络　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最推荐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反应即"底物集 → 产物集"，天然是有向超边，且 </w:t>
      </w:r>
      <w:r>
        <w:rPr>
          <w:rFonts w:ascii="Cambria Math" w:eastAsia="SimSun" w:hAnsi="Cambria Math"/>
          <w:i w:val="false"/>
          <w:iCs w:val="false"/>
        </w:rPr>
        <w:t xml:space="preserve">τ&gt;1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η&gt;1</w:t>
      </w:r>
      <w:r>
        <w:rPr>
          <w:rFonts w:ascii="Times New Roman" w:cs="Times New Roman" w:eastAsia="SimSun" w:hAnsi="Times New Roman"/>
        </w:rPr>
        <w:t xml:space="preserve"> 同时成立。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为什么它比其他选项好一档：群体阈值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  <w:b/>
          <w:bCs/>
        </w:rPr>
        <w:t xml:space="preserve"> 在这里有真实的物理对应。</w:t>
      </w:r>
      <w:r>
        <w:rPr>
          <w:rFonts w:ascii="Times New Roman" w:cs="Times New Roman" w:eastAsia="SimSun" w:hAnsi="Times New Roman"/>
        </w:rPr>
        <w:t xml:space="preserve"> 一个反应要发生，所有底物必须齐备——这就是一个 AND 门，即 </w:t>
      </w:r>
      <w:r>
        <w:rPr>
          <w:rFonts w:ascii="Cambria Math" w:eastAsia="SimSun" w:hAnsi="Cambria Math"/>
          <w:i w:val="false"/>
          <w:iCs w:val="false"/>
        </w:rPr>
        <w:t xml:space="preserve">θ=τ</w:t>
      </w:r>
      <w:r>
        <w:rPr>
          <w:rFonts w:ascii="Times New Roman" w:cs="Times New Roman" w:eastAsia="SimSun" w:hAnsi="Times New Roman"/>
        </w:rPr>
        <w:t xml:space="preserve">。本文的群体阈值机制在别的数据里都是类比，只有在这里是字面意义上的机制。这一点值得在正文里明说。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私有来源：实验室自建的未发表菌株/物种代谢重建模型、企业代谢工程模型、机构授权的商业数据库版本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传统衔接：[klamt2009] 已确立代谢网络的超图表示，物理刊读者认这条线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重叠丰富：共享代谢物极多，四通道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都非平凡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一个必须处理的坑：</w:t>
      </w:r>
      <w:r>
        <w:rPr>
          <w:rFonts w:ascii="Times New Roman" w:cs="Times New Roman" w:eastAsia="SimSun" w:hAnsi="Times New Roman"/>
          <w:color w:val="3A4A5A"/>
        </w:rPr>
        <w:t xml:space="preserve"> ATP、NAD(H)、H₂O、H⁺、CoA 这类 currency metabolite 参与几乎所有反应，会完全支配重叠统计——不剔除的话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 测的其实是"有多少反应用 ATP"。剔除是该领域标准操作，但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必须在正文写清剔除清单与敏感性检查</w:t>
      </w:r>
      <w:r>
        <w:rPr>
          <w:rFonts w:ascii="Times New Roman" w:cs="Times New Roman" w:eastAsia="SimSun" w:hAnsi="Times New Roman"/>
          <w:color w:val="3A4A5A"/>
        </w:rPr>
        <w:t xml:space="preserve">，否则审稿人第一条意见就是这个。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B 档：多方交易 / 供应链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供应商集 → 采购方集；或多输入多输出的资金流转。</w:t>
      </w:r>
      <w:r>
        <w:rPr>
          <w:rFonts w:ascii="Cambria Math" w:eastAsia="SimSun" w:hAnsi="Cambria Math"/>
          <w:i w:val="false"/>
          <w:iCs w:val="false"/>
        </w:rPr>
        <w:t xml:space="preserve">τ&gt;1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η&gt;1</w:t>
      </w:r>
      <w:r>
        <w:rPr>
          <w:rFonts w:ascii="Times New Roman" w:cs="Times New Roman" w:eastAsia="SimSun" w:hAnsi="Times New Roman"/>
        </w:rPr>
        <w:t xml:space="preserve"> 自然成立。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对 C4 特别有价值</w:t>
      </w:r>
      <w:r>
        <w:rPr>
          <w:rFonts w:ascii="Times New Roman" w:cs="Times New Roman" w:eastAsia="SimSun" w:hAnsi="Times New Roman"/>
        </w:rPr>
        <w:t xml:space="preserve">：上游集中、下游分散是这类系统的常态，因此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≠α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很可能显著，</w:t>
      </w:r>
      <w:r>
        <w:rPr>
          <w:rFonts w:ascii="Cambria Math" w:eastAsia="SimSun" w:hAnsi="Cambria Math"/>
          <w:i w:val="false"/>
          <w:iCs w:val="false"/>
        </w:rPr>
        <w:t xml:space="preserve">Δα≠0</w:t>
      </w:r>
      <w:r>
        <w:rPr>
          <w:rFonts w:ascii="Times New Roman" w:cs="Times New Roman" w:eastAsia="SimSun" w:hAnsi="Times New Roman"/>
        </w:rPr>
        <w:t xml:space="preserve"> 有真实来源——这正是破缺实验需要的。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私有来源：企业 ERP、机构采购记录、银行流水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最大风险是合规</w:t>
      </w:r>
      <w:r>
        <w:rPr>
          <w:rFonts w:ascii="Times New Roman" w:cs="Times New Roman" w:eastAsia="SimSun" w:hAnsi="Times New Roman"/>
        </w:rPr>
        <w:t xml:space="preserve">：这类数据往往连审稿人都不能看，会直接撞上 §0 的红线。落地前先确认能否向审稿人提供脱敏版本。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C 档：邮件 / 群消息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发件人 → 收件人集，方向语义干净，剂量累积（同一人被多个来源反复触达）的故事也自然。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但通常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，违反硬要求 3，退化为高阶只在头侧的情形。可以用，但会削弱高阶卖点，且隐私敏感度高。若采用，建议只作为</w:t>
      </w:r>
      <w:r>
        <w:rPr>
          <w:rFonts w:ascii="Times New Roman" w:cs="Times New Roman" w:eastAsia="SimSun" w:hAnsi="Times New Roman"/>
          <w:b/>
          <w:bCs/>
        </w:rPr>
        <w:t xml:space="preserve">补充案例</w:t>
      </w:r>
      <w:r>
        <w:rPr>
          <w:rFonts w:ascii="Times New Roman" w:cs="Times New Roman" w:eastAsia="SimSun" w:hAnsi="Times New Roman"/>
        </w:rPr>
        <w:t xml:space="preserve">而非主案例。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D 档：引用 / 合作 / 代码评审　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不建议作主案例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引用数据虽然能构造成"一组作者 → 一组被引文献"，但</w:t>
      </w:r>
      <w:r>
        <w:rPr>
          <w:rFonts w:ascii="Times New Roman" w:cs="Times New Roman" w:eastAsia="SimSun" w:hAnsi="Times New Roman"/>
          <w:b/>
          <w:bCs/>
        </w:rPr>
        <w:t xml:space="preserve">方向语义是"引用"，不是"影响的传播"</w:t>
      </w:r>
      <w:r>
        <w:rPr>
          <w:rFonts w:ascii="Times New Roman" w:cs="Times New Roman" w:eastAsia="SimSun" w:hAnsi="Times New Roman"/>
        </w:rPr>
        <w:t xml:space="preserve">——被引文献不会因为被引而"被感染"。硬要套 SIR 语义会被审稿人质疑。代码评审（PR 作者 → 评审人集）同样多为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注意：[lotito2026directed] 用了引用数据，但他们做的是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结构刻画</w:t>
      </w:r>
      <w:r>
        <w:rPr>
          <w:rFonts w:ascii="Times New Roman" w:cs="Times New Roman" w:eastAsia="SimSun" w:hAnsi="Times New Roman"/>
          <w:color w:val="3A4A5A"/>
        </w:rPr>
        <w:t xml:space="preserve">，不涉及动力学语义，所以没有这个问题。我们做传播，就有。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可行性筛选清单（一个下午能做完）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拿到任何候选数据，按顺序跑这五步，任一步失败就换数据：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Cambria Math" w:eastAsia="SimSun" w:hAnsi="Cambria Math"/>
          <w:b/>
          <w:bCs/>
          <w:i/>
          <w:iCs/>
        </w:rPr>
        <w:t xml:space="preserve">T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∩ </w:t>
      </w:r>
      <w:r>
        <w:rPr>
          <w:rFonts w:ascii="Cambria Math" w:eastAsia="SimSun" w:hAnsi="Cambria Math"/>
          <w:b/>
          <w:bCs/>
          <w:i/>
          <w:iCs/>
        </w:rPr>
        <w:t xml:space="preserve">H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  <w:b/>
          <w:bCs/>
        </w:rPr>
        <w:t xml:space="preserve"> 是否成立？</w:t>
      </w:r>
      <w:r>
        <w:rPr>
          <w:rFonts w:ascii="Times New Roman" w:cs="Times New Roman" w:eastAsia="SimSun" w:hAnsi="Times New Roman"/>
        </w:rPr>
        <w:t xml:space="preserve"> 若有节点同时在尾和头（如自催化反应），需要定一条处理规则（拆分或剔除），并记录影响多少条超边。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阶分布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出二维直方图。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占比过高 → 降级为 C 档用法。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重叠是否非平凡？</w:t>
      </w:r>
      <w:r>
        <w:rPr>
          <w:rFonts w:ascii="Times New Roman" w:cs="Times New Roman" w:eastAsia="SimSun" w:hAnsi="Times New Roman"/>
        </w:rPr>
        <w:t xml:space="preserve"> 统计四通道各自的"发生重叠的超边对数"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与条件均值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。若某通道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接近零，该通道的结论无法支撑。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  <w:b/>
          <w:bCs/>
        </w:rPr>
        <w:t xml:space="preserve"> 是否退化？</w:t>
      </w:r>
      <w:r>
        <w:rPr>
          <w:rFonts w:ascii="Times New Roman" w:cs="Times New Roman" w:eastAsia="SimSun" w:hAnsi="Times New Roman"/>
        </w:rPr>
        <w:t xml:space="preserve"> 两者都接近零 → 结构扫描没有真实锚点，第 VII 部分只能做定性对照。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与均匀零模型的对比是否有信号？</w:t>
      </w:r>
      <w:r>
        <w:rPr>
          <w:rFonts w:ascii="Times New Roman" w:cs="Times New Roman" w:eastAsia="SimSun" w:hAnsi="Times New Roman"/>
        </w:rPr>
        <w:t xml:space="preserve"> 用 [kraakman2026sampling] / [abuissa2026dinghy] 的采样器生成保度零模型，看实测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是否显著偏离。若不偏离，说明这份数据的结构相关性本身就不显著，用它佐证结构效应说服力有限。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强烈建议：混合策略，不要只用私有数据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用一个公开数据集作可复现锚点 + 私有数据作增值案例。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具体：主案例仍取 [lotito2026directed] 的公开三件套之一（代谢网络那个正好与 A 档同域），私有数据作为第二个案例，展示公开数据上没有的结构区间（例如更极端的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三个理由：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消除投稿风险。</w:t>
      </w:r>
      <w:r>
        <w:rPr>
          <w:rFonts w:ascii="Times New Roman" w:cs="Times New Roman" w:eastAsia="SimSun" w:hAnsi="Times New Roman"/>
        </w:rPr>
        <w:t xml:space="preserve"> 数据可得性声明可以写成"主结论所依据的数据已公开可得；补充案例的数据因……受限，可应要求向编辑与审稿人提供"。这个形态两家刊都接受。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结论更可信。</w:t>
      </w:r>
      <w:r>
        <w:rPr>
          <w:rFonts w:ascii="Times New Roman" w:cs="Times New Roman" w:eastAsia="SimSun" w:hAnsi="Times New Roman"/>
        </w:rPr>
        <w:t xml:space="preserve"> 同一套结构—阈值关系在公开数据与私有数据上都成立，比只在一份别人看不到的数据上成立强得多。审稿人无法验证私有数据，但能验证公开的那份。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抗风险。</w:t>
      </w:r>
      <w:r>
        <w:rPr>
          <w:rFonts w:ascii="Times New Roman" w:cs="Times New Roman" w:eastAsia="SimSun" w:hAnsi="Times New Roman"/>
        </w:rPr>
        <w:t xml:space="preserve"> 如果私有数据最后拿不到授权、或合规评审卡住、或筛选清单没过，论文不会因此崩——公开锚点已经把第 VII 部分撑住了。这一点在只剩十周的工期下尤其重要。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数据可得性声明的写法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若采用混合策略，PRE 提交时可按此起草（投稿前须与实际情况核对）：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支撑本文主要结论的有向超图数据集为公开数据，来源见正文与参考文献。第 VII.x 节使用的补充数据集因 \[机构授权 / 商业保密 / 隐私合规\] 不能公开发布；该数据集的脱敏版本可应合理请求向编辑与审稿人提供。用于生成、重连与分析的全部代码已公开于 \[仓库地址\]。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代码一定要公开。</w:t>
      </w:r>
      <w:r>
        <w:rPr>
          <w:rFonts w:ascii="Times New Roman" w:cs="Times New Roman" w:eastAsia="SimSun" w:hAnsi="Times New Roman"/>
        </w:rPr>
        <w:t xml:space="preserve"> 数据受限时，公开代码是挽回可复现性的最有效手段，而本文的生成器与重连工具链本身就是可独立使用的产出——公开它对 C3 的可见度也有好处。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需要你确认的一件事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上面按数据</w:t>
      </w:r>
      <w:r>
        <w:rPr>
          <w:rFonts w:ascii="Times New Roman" w:cs="Times New Roman" w:eastAsia="SimSun" w:hAnsi="Times New Roman"/>
          <w:b/>
          <w:bCs/>
        </w:rPr>
        <w:t xml:space="preserve">类型</w:t>
      </w:r>
      <w:r>
        <w:rPr>
          <w:rFonts w:ascii="Times New Roman" w:cs="Times New Roman" w:eastAsia="SimSun" w:hAnsi="Times New Roman"/>
        </w:rPr>
        <w:t xml:space="preserve">排了序，但没法替你判断哪些是你实际拿得到的。</w:t>
      </w:r>
      <w:r>
        <w:rPr>
          <w:rFonts w:ascii="Times New Roman" w:cs="Times New Roman" w:eastAsia="SimSun" w:hAnsi="Times New Roman"/>
          <w:b/>
          <w:bCs/>
        </w:rPr>
        <w:t xml:space="preserve">告诉我你手上/老师手上是哪个领域的数据，我可以把筛选清单细化成针对该数据的具体检查项</w:t>
      </w:r>
      <w:r>
        <w:rPr>
          <w:rFonts w:ascii="Times New Roman" w:cs="Times New Roman" w:eastAsia="SimSun" w:hAnsi="Times New Roman"/>
        </w:rPr>
        <w:t xml:space="preserve">（例如代谢数据要查哪些字段、currency metabolite 按哪份清单剔除）。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若暂时没有确定的私有数据来源，建议直接按 §4 先用公开三件套推进第 8 周的工作，私有数据作为后续增补——这不影响主线工期。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2026-08-08T03:21:53.489Z</dcterms:created>
  <dcterms:modified xsi:type="dcterms:W3CDTF">2026-08-08T03:21:53.490Z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