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I. 引言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在成对接触网络上，SIR 传播的理论已沿两条彼此独立的路径发展成熟。终态一侧由渗流承担：任意度分布随机图的连通结构可由生成函数方法解析给出 [1]，而键渗流映射把最终感染规模化归为占据概率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下的巨簇规模 [2]；这一思路可上溯至一般流行过程与动力学渗流的等价性 [3]。度分布异质性的作用由此可直接读出：临界占据概率为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⟩/(⟨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⟩-⟨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⟩)</w:t>
      </w:r>
      <w:r>
        <w:rPr>
          <w:rFonts w:ascii="Times New Roman" w:cs="Times New Roman" w:eastAsia="SimSun" w:hAnsi="Times New Roman"/>
        </w:rPr>
        <w:t xml:space="preserve">，二阶矩发散时阈值趋于零；无标度网络上的 SIS 模型给出过同一结论 [4]。Kenah 与 Robins 随后指出，SIR 与键渗流之间并非严格同构：与之精确同构的是一个半有向的"流行渗流网络"，其中爆发规模分布对应出分支、阈值对应巨强连通分支的出现、终态规模对应巨出分支 [5]。值得注意的是，方向性由此已经内在地进入了 SIR 的渗流表述，尽管接触网络本身是无向的。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含时一侧由方程法承担。Volz 用成对近似给出随机网络上 SIR 的低维闭合 [6]，Miller 等将其整理为边基房室模型（EBCM），以"沿一条边尚未传来感染"的概率为核心变量，用少数常微分方程同时容纳异质接触率与伙伴关系的有限持续时间 [7]。传染与康复过程的分布形式并非细节：偏离马尔可夫假设会显著改变流行阈值 [8]。两条路径分工明确——渗流给出阈值与终态，方程给出峰值与时间演化——并可相互印证 [9]。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方向性作为接触网络本身的属性也早已被处理，且入出度相关从一开始就是其中的关键量。有向随机图各巨分支的规模由入出度联合分布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决定；当该分布不可分解——即入度与出度相关时——巨强连通分支的规模会偏离巨入分支与巨出分支规模之积 [10]。在任意两点度相关与双向边同时存在的一般情形下，有向渗流的阈值与各巨分支规模已可解析求出 [11]，这套机制并已直接用于有向接触网络上的流行预测 [12]。入出度相关对动力学的影响亦有直接证据：在有向网络上的阈值型传播中，正的入出度相关在较宽的平均入度范围内提高系统稳健性，负相关则相反 [13]。它与无向网络中的度—度同配性 [14] 并非同一件事——后者刻画相连节点之间度值的相似性，前者刻画同一节点两个方向的度值关系。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与此同时，传播研究的重心转向高阶交互——许多传染并非沿边逐个发生，而是在一个群体内集体发生 [15, 16]；这类高阶交互在真实数据中普遍存在 [17]。单纯复形上的高阶影响与强化机制可诱导不连续相变，并出现健康态与流行态共存的双稳区 [18]；超图上的社会传播已有适用于任意超图的解析框架，展现一阶与二阶相变、双稳与滞后 [19]；而把异质暴露与最小感染剂量结合，会导出一个普适的非线性感染核，并随之出现不连续相变与超指数增长 [20]——这与经典的阈值型复杂传播 [21, 22] 一脉相承。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结构对高阶传播的影响同样明确。链接度分布的异质性可抑制爆炸式相变 [23]；超核分解给出一种中心性，传播过程局域于中心超核 [24]；由超边之间共享节点数定义的高阶连通分支，其巨分支的存在是单一种子实现全局爆发的必要条件 [25]；哪些群体最适合作为种子也已被刻画 [26]。尤为关键的是超边之间的重叠：它决定转变是否为爆炸式，且作用方向与直觉相反——只有在阶内重叠较低时才出现爆炸性与双稳 [27]。重叠的组织方式可由一个超边重叠矩阵刻画，其对角元与非对角元分别对应阶内与阶间重叠 [28]，而阶间相关驱动系统沿不同路径走向爆炸式传播 [29]。超图上的渗流理论亦已建立 [30]，相关进展见综述 [31]。这些工作共享同一前提：超边是无向的，一条超边内的所有节点对称地相互施加影响。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然而现实中的高阶交互往往是有向的——施加影响的一方与接受影响的一方并不对称。有向超图正是为刻画这种不对称而设的形式化：每条超边分为施加影响的尾集与接受影响的头集（二者不相交），这一结构在算法与运筹领域已使用三十余年 [32]。代谢与化学反应把一组底物转化为一组产物，是其典型实例 [33]；比特币交易与引用数据亦已按有向超图分析 [34]。针对有向超图的结构测度近年迅速成型：真实数据的微观组织、高阶互惠性与 motif 已被系统刻画 [34, 35]；无向超图中超边重叠的测度与生成器已给出 [36]，位形模型与保度随机化亦有成熟实现 [37, 38]；而保入出度序列的均匀采样与非退化零模型在有向超图上也已可用 [39, 40]。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动力学一侧则由 Li 等开启。他们在有向超图上建立社会传播模型，发现不连续相变的双稳区间随有向强度减弱而收缩，表明方向性确实改变高阶传播的相变结构 [41]。该工作采用均场闭合，不涉及渗流，其方向性由单一标量强度参数调节。均场忽略邻域相关，误差在阈值邻域最大；在成对网络上，正是 EBCM 补上了这一层 [6, 7]。因此，对于有向超图上的传播阈值如何依赖于结构相关这一问题，目前既没有超出均场的含时理论，也没有可供解析扫描的渗流理论。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本文沿方程与渗流两条路径推进这一问题，并证明二者在同一极限下相合。方程一侧，我们提出有向超图 SIR 的并发型 EBCM 方程；其技术困难在于一个头节点同时承受多条超边、多个尾成员的并发压力，闭合变量不能简单相乘。我们给出闭合方案，在尾集基数 </w:t>
      </w:r>
      <w:r>
        <w:rPr>
          <w:rFonts w:ascii="Cambria Math" w:eastAsia="SimSun" w:hAnsi="Cambria Math"/>
          <w:i w:val="false"/>
          <w:iCs w:val="false"/>
        </w:rPr>
        <w:t xml:space="preserve">τ=1,2</w:t>
      </w:r>
      <w:r>
        <w:rPr>
          <w:rFonts w:ascii="Times New Roman" w:cs="Times New Roman" w:eastAsia="SimSun" w:hAnsi="Times New Roman"/>
        </w:rPr>
        <w:t xml:space="preserve"> 的可控情形下手推验证，并以精确 Gillespie 仿真 [42] 在阈值邻域校验，从而定量给出边基闭合相对均场的增益。渗流一侧，我们把成对网络上的 SIR–渗流映射及其半有向修正 [2, 5] 与有向渗流的生成函数机制 [10, 11] 推广到有向超图，得到爆发阈值随结构参数变化的半解析依赖。两条路径互不依赖，因而可互为验证；我们进一步证明二者的自洽方程在 </w:t>
      </w:r>
      <w:r>
        <w:rPr>
          <w:rFonts w:ascii="Cambria Math" w:eastAsia="SimSun" w:hAnsi="Cambria Math"/>
          <w:i w:val="false"/>
          <w:iCs w:val="false"/>
        </w:rPr>
        <w:t xml:space="preserve">μ→0</w:t>
      </w:r>
      <w:r>
        <w:rPr>
          <w:rFonts w:ascii="Times New Roman" w:cs="Times New Roman" w:eastAsia="SimSun" w:hAnsi="Times New Roman"/>
        </w:rPr>
        <w:t xml:space="preserve"> 极限下同构，给出同一阈值。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为使结构依赖可被受控地检验，我们给出有向超边重叠的可计算定义。对每一对有序超边构造 </w:t>
      </w:r>
      <w:r>
        <w:rPr>
          <w:rFonts w:ascii="Cambria Math" w:eastAsia="SimSun" w:hAnsi="Cambria Math"/>
          <w:i w:val="false"/>
          <w:iCs w:val="false"/>
        </w:rPr>
        <w:t xml:space="preserve">2×2</w:t>
      </w:r>
      <w:r>
        <w:rPr>
          <w:rFonts w:ascii="Times New Roman" w:cs="Times New Roman" w:eastAsia="SimSun" w:hAnsi="Times New Roman"/>
        </w:rPr>
        <w:t xml:space="preserve"> 重叠列联矩阵，其四个通道分别对应共享节点在两条超边中同为尾成员、同为头成员、或一为头一为尾（两个方向各一个通道）。按阶聚合后得到一个张量，其阶对角块与非对角块分别对应已有的阶内与阶间重叠 [27, 28]；对任意一对超边，四个通道之和精确等于无向情形下的重叠，因此本文结果可与无向文献直接对照。互惠通道直接采用文献中的强互惠判据 [34]。两个结构参数在生成流程的不同环节起作用。入出度相关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是双度序列的函数，故在构造该序列的阶段设定（保持两条边际度序列不变，重新配置入度与出度在节点上的配对）；重叠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则在序列固定之后，由严格保持逐节点入出度的定向重排调节。二者因而可以独立扫描，互不牵动。零模型基线取自已有的均匀采样器 [39, 40]。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向对称性破缺的分析给出两个与直觉相反的结果。其一，平均爆发规模是极差的序参量。设终态可表示为某个种子无关的随机结构上的可达性——逐对独立传播下这一表示严格成立——则可达有序对的总数在方向翻转下逐实现守恒，均匀单种子下的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因而对</w:t>
      </w:r>
      <w:r>
        <w:rPr>
          <w:rFonts w:ascii="Times New Roman" w:cs="Times New Roman" w:eastAsia="SimSun" w:hAnsi="Times New Roman"/>
          <w:b/>
          <w:bCs/>
        </w:rPr>
        <w:t xml:space="preserve">任意</w:t>
      </w:r>
      <w:r>
        <w:rPr>
          <w:rFonts w:ascii="Times New Roman" w:cs="Times New Roman" w:eastAsia="SimSun" w:hAnsi="Times New Roman"/>
        </w:rPr>
        <w:t xml:space="preserve">有向超图保持不变，无论其结构多么不对称。超边级激活使同一超边的各头成员共享一个激活区间，该表示随之失效：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在翻转下出现约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的残余不对称，但这比爆发概率的破缺幅度仍小二十余倍。破缺真正出现在这些可达对如何分配：大爆发的概率由巨入分支决定，爆发的终态规模由巨出分支决定，而翻转恰好交换二者 [5]。我们因而以爆发概率与条件爆发规模为序参量。二者若破缺则必反向，其组合须把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补偿至上述残余以内——这一补偿关系本身即是一项可证伪的预言。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其二，翻转奇是破缺的必要条件，却远非充分条件。本文所用结构量中翻转奇的来源只有两个：双度序列关于入/出分量互换的不对称性，以及共发重叠与共收重叠之差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。二者的实际作用截然不同：前者驱动的破缺在爆发概率上是数十个标准差的效应；而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尽管同样翻转奇，在同一协议下把它推到量程上限，效应始终不可分辨，我们只能给出上界。破缺因而由分支结构的不对称驱动，而非由重叠的极性驱动——宇称分类能划出候选集合，选出其中哪一个起作用则是动力学问题。作为阴性对照，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在翻转下是偶的（翻转互换每个节点的入度与出度，而相关系数对其两个变量对称），故单独调节它不可能产生破缺，尽管它确实移动阈值。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最后需说明一点。当群体阈值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时，激活规则不再是单条超边的独立事件，模型转而落入 bootstrap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型渗流，其相变结构不同于普通渗流——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的出现是混合型相变 [43]，bootstrap 渗流则可能同时存在一个连续阈值与一个更高的混合型阈值，且后者在二阶矩发散时消失 [44]；高阶渗流与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渗流之间的联系在多重超图上已被建立 [45]。本文对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分别处理。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本文余下部分安排如下。第 II 节给出有向超图与 SIR 动力学的定义、有向超边重叠的可计算形式，以及结构量在方向翻转下的宇称分类。第 III 节推导并发型 EBCM 方程并给出仿真校验。第 IV 节建立 SIR 到有向超图渗流的映射与生成函数阈值理论。第 V 节介绍保度生成与定向重连工具。第 VI 节给出阈值对结构参数的依赖、方向对称性破缺，以及两方法的交叉验证。第 VII 节在真实有向超图数据上检验模型。第 VIII 节为讨论与结论。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II. 模型与结构量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有向超图与记号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有向超图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由节点集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）与超边集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）构成。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为集合，即不含重复超边；第 V 节的生成器在配对后显式修复重复超边与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相交的违规。每条超边是一个有序对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)⊆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)=∅</w:t>
      </w:r>
      <w:r>
        <w:rPr>
          <w:rFonts w:ascii="Cambria Math" w:eastAsia="SimSun" w:hAnsi="Cambria Math"/>
          <w:sz w:val="21"/>
          <w:szCs w:val="21"/>
        </w:rPr>
        <w:t xml:space="preserve">	(1)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其中尾集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为施加影响的一方，头集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为接受影响的一方。二者不相交，这既排除了自作用，也是后文重叠退化关系 (11) 成立的前提。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主线取同质阶数，即对所有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有 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)|=η</w:t>
      </w:r>
      <w:r>
        <w:rPr>
          <w:rFonts w:ascii="Times New Roman" w:cs="Times New Roman" w:eastAsia="SimSun" w:hAnsi="Times New Roman"/>
        </w:rPr>
        <w:t xml:space="preserve">；异质阶数的推广见附录。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退化为普通有向图；取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为超边的支撑集则退化为无向超图。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节点的出度与入度分别计其作为尾成员与头成员的次数，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sz w:val="21"/>
          <w:szCs w:val="21"/>
        </w:rPr>
        <w:t xml:space="preserve">	(2)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二者的联合分布记为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。逐边计数给出两条握手关系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)=τ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)=η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sz w:val="21"/>
          <w:szCs w:val="21"/>
        </w:rPr>
        <w:t xml:space="preserve">	(3)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因此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：尾集与头集基数不等时，两个平均度必然不等。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本文所用的随机系综为有向超图位形模型：给定双度序列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v∈V</w:t>
      </w:r>
      <w:r>
        <w:rPr>
          <w:rFonts w:ascii="Times New Roman" w:cs="Times New Roman" w:eastAsia="SimSun" w:hAnsi="Times New Roman"/>
        </w:rPr>
        <w:t xml:space="preserve"> 与阶数 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，对全部尾槽与头槽做均匀随机配对，再修复违规超边；具体实现见第 V 节。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本文的第一个结构参数是入出度相关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⟩-⟨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即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在节点上的 Pearson 相关系数——刻画同一节点两个方向的度值关系，而非相连节点之间的度值相似性 [14]。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必须强调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是</w:t>
      </w:r>
      <w:r>
        <w:rPr>
          <w:rFonts w:ascii="Times New Roman" w:cs="Times New Roman" w:eastAsia="SimSun" w:hAnsi="Times New Roman"/>
          <w:b/>
          <w:bCs/>
        </w:rPr>
        <w:t xml:space="preserve">双度序列 </w:t>
      </w:r>
      <w:r>
        <w:rPr>
          <w:rFonts w:ascii="Cambria Math" w:eastAsia="SimSun" w:hAnsi="Cambria Math"/>
          <w:b/>
          <w:bCs/>
          <w:i/>
          <w:iCs/>
        </w:rPr>
        <w:t xml:space="preserve">d</w:t>
      </w:r>
      <w:r>
        <w:rPr>
          <w:rFonts w:ascii="Times New Roman" w:cs="Times New Roman" w:eastAsia="SimSun" w:hAnsi="Times New Roman"/>
          <w:b/>
          <w:bCs/>
        </w:rPr>
        <w:t xml:space="preserve"> 的函数</w:t>
      </w:r>
      <w:r>
        <w:rPr>
          <w:rFonts w:ascii="Times New Roman" w:cs="Times New Roman" w:eastAsia="SimSun" w:hAnsi="Times New Roman"/>
        </w:rPr>
        <w:t xml:space="preserve">，与超边如何连接无关。因此它由系综的输入决定，一经给定即不再随超边的重排而改变：调节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只能在构造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的阶段进行，即在两条边际度序列固定的前提下重新配置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在节点上的配对。下一小节的重叠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恰好相反：它在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固定之后，才由超边的重排调节。两个结构参数因而作用在生成流程的不同环节，互不干扰——这一分离正是第 V 节两套工具的分工依据。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SIR 动力学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每个节点在任一时刻处于易感（S）、感染（I）、康复（R）三态之一。感染只沿尾→头方向传递：超边尾集中的感染成员驱动其头集中的易感节点，反向不发生传递。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记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)⊆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时刻的感染节点集，并令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</w:t>
      </w:r>
      <w:r>
        <w:rPr>
          <w:rFonts w:ascii="Cambria Math" w:eastAsia="SimSun" w:hAnsi="Cambria Math"/>
          <w:sz w:val="21"/>
          <w:szCs w:val="21"/>
        </w:rPr>
        <w:t xml:space="preserve">	(5)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尾集中已感染的成员数。超边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对其头集中每个尚处易感态的节点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施加的感染率取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(0)=0</w:t>
      </w:r>
      <w:r>
        <w:rPr>
          <w:rFonts w:ascii="Cambria Math" w:eastAsia="SimSun" w:hAnsi="Cambria Math"/>
          <w:sz w:val="21"/>
          <w:szCs w:val="21"/>
        </w:rPr>
        <w:t xml:space="preserve">	(6)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β&gt;0</w:t>
      </w:r>
      <w:r>
        <w:rPr>
          <w:rFonts w:ascii="Times New Roman" w:cs="Times New Roman" w:eastAsia="SimSun" w:hAnsi="Times New Roman"/>
        </w:rPr>
        <w:t xml:space="preserve"> 为传播强度，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为感染核。本文主线取群体阈值核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)=Θ(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-θ)=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≥θ; 0,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&lt;θ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尾集感染成员数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Times New Roman" w:cs="Times New Roman" w:eastAsia="SimSun" w:hAnsi="Times New Roman"/>
        </w:rPr>
        <w:t xml:space="preserve"> 时超边处于激活态，以恒定率向头集传递；成员康复使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Times New Roman" w:cs="Times New Roman" w:eastAsia="SimSun" w:hAnsi="Times New Roman"/>
        </w:rPr>
        <w:t xml:space="preserve"> 回落到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以下时超边失活。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对应简单传播，任一尾成员感染即足以激活超边；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则要求多个尾成员的联合状态，属于阈值型复杂传播 [21, 22]。两者的渗流对应物不同，将在第 IV 节分别处理。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阈值放在尾侧、且逐超边判定，是本文主线的机制选择。取线性核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可回收"每个感染尾成员独立传递"的情形；把阈值改放头侧、令头节点在跨超边累积的剂量超过阈值时被感染，则得到另一类机制，由附录的剂量核统一处理。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易感节点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的总感染率是它所在全部头集的贡献之和，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e: u∈H(e)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感染节点以恒定率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独立康复，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→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，康复后不再参与传递。以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归一时间尺度后，过程只依赖比值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λ≡β/μ</w:t>
      </w:r>
      <w:r>
        <w:rPr>
          <w:rFonts w:ascii="Cambria Math" w:eastAsia="SimSun" w:hAnsi="Cambria Math"/>
          <w:sz w:val="21"/>
          <w:szCs w:val="21"/>
        </w:rPr>
        <w:t xml:space="preserve">	(9)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故给定感染核后，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是唯一的连续动力学控制参数，爆发阈值指其临界值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；后文所称"阈值随结构参数变化"即指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对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等量的依赖。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V</w:t>
      </w:r>
      <w:r>
        <w:rPr>
          <w:rFonts w:ascii="Times New Roman" w:cs="Times New Roman" w:eastAsia="SimSun" w:hAnsi="Times New Roman"/>
        </w:rPr>
        <w:t xml:space="preserve"> 上的演化因而是连续时间 Markov 过程，可用 Gillespie 算法精确抽样 [42]——这是第 III 节数值校验的基础。非指数康复期分布的推广见附录。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初始条件需随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而变。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时取单个均匀随机选取的种子节点感染即可。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时单个种子无法激活任何超边——任一超边的感染尾成员数至多为 </w:t>
      </w:r>
      <w:r>
        <w:rPr>
          <w:rFonts w:ascii="Cambria Math" w:eastAsia="SimSun" w:hAnsi="Cambria Math"/>
          <w:i w:val="false"/>
          <w:iCs w:val="false"/>
        </w:rPr>
        <w:t xml:space="preserve">1&lt;θ</w:t>
      </w:r>
      <w:r>
        <w:rPr>
          <w:rFonts w:ascii="Times New Roman" w:cs="Times New Roman" w:eastAsia="SimSun" w:hAnsi="Times New Roman"/>
        </w:rPr>
        <w:t xml:space="preserve">——过程立即停在初态，爆发规模恒为 </w:t>
      </w: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；因此必须取一个规模不小于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的种子集，我们取均匀随机的初始感染比例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。这与 bootstrap 渗流以初始激活比例为控制参数的做法一致 [44]，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因而是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分支的第二个控制参数。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有限系统几乎必然在有限时间内到达无感染者的吸收态。记该吸收态中康复节点的占比为爆发规模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，记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为给定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对动力学随机性与种子选取的条件期望。两种初始条件下种子分布都均匀，因而与超边方向无关，这一点 II.D 将用到。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式 (5)–(8) 中方向性的作用是不对称的：节点的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决定它能把感染推给多少个头集，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决定它暴露于多少个尾集。这一不对称正是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得以进入动力学的通道。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有向超边重叠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第二个结构参数刻画超边之间如何共享节点。在无向超图中，两条超边的重叠只有"共享几个节点"一个自由度 [27, 28]；引入尾/头之分后，共享节点在两条超边中各自扮演的角色也成为信息。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对任意有序超边对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≠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，定义重叠列联矩阵的四个分量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(10)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同理。四个通道各有独立的动力学含义：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共发</w:t>
      </w:r>
      <w:r>
        <w:rPr>
          <w:rFonts w:ascii="Times New Roman" w:cs="Times New Roman" w:eastAsia="SimSun" w:hAnsi="Times New Roman"/>
        </w:rPr>
        <w:t xml:space="preserve">，共享节点在两条超边中同为尾成员，同一感染源向两个不同头集扇出；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HH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共收</w:t>
      </w:r>
      <w:r>
        <w:rPr>
          <w:rFonts w:ascii="Times New Roman" w:cs="Times New Roman" w:eastAsia="SimSun" w:hAnsi="Times New Roman"/>
        </w:rPr>
        <w:t xml:space="preserve">，共享节点同为头成员，两条超边的感染率按 (8) 在该节点上叠加（附录的头侧剂量核下，跨超边剂量亦在此累积）；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串联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的头集落入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的尾集，构成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→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的传播链；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为反向串联。由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̄=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即得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̄|=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HH</w:t>
      </w:r>
      <w:r>
        <w:rPr>
          <w:rFonts w:ascii="Cambria Math" w:eastAsia="SimSun" w:hAnsi="Cambria Math"/>
          <w:sz w:val="21"/>
          <w:szCs w:val="21"/>
        </w:rPr>
        <w:t xml:space="preserve">	(11)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也就是说，对任意一对超边，四通道之和精确等于其无向重叠：本节的重叠量是现行定义的方向细化，因而后文结果可与无向文献直接对照。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归一化到 </w:t>
      </w:r>
      <w:r>
        <w:rPr>
          <w:rFonts w:ascii="Cambria Math" w:eastAsia="SimSun" w:hAnsi="Cambria Math"/>
          <w:i w:val="false"/>
          <w:iCs w:val="false"/>
        </w:rPr>
        <w:t xml:space="preserve">[0,1]</w:t>
      </w:r>
      <w:r>
        <w:rPr>
          <w:rFonts w:ascii="Times New Roman" w:cs="Times New Roman" w:eastAsia="SimSun" w:hAnsi="Times New Roman"/>
        </w:rPr>
        <w:t xml:space="preserve"> 取（同质阶数下分母逐通道为常数：</w:t>
      </w:r>
      <w:r>
        <w:rPr>
          <w:rFonts w:ascii="Cambria Math" w:eastAsia="SimSun" w:hAnsi="Cambria Math"/>
          <w:i/>
          <w:iCs/>
        </w:rPr>
        <w:t xml:space="preserve">TT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HH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、两个串联通道取 </w:t>
      </w:r>
      <w:r>
        <w:rPr>
          <w:rFonts w:ascii="Cambria Math" w:eastAsia="SimSun" w:hAnsi="Cambria Math"/>
          <w:i/>
          <w:iCs/>
        </w:rPr>
        <w:t xml:space="preserve">min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）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)|))</w:t>
      </w:r>
      <w:r>
        <w:rPr>
          <w:rFonts w:ascii="Cambria Math" w:eastAsia="SimSun" w:hAnsi="Cambria Math"/>
          <w:sz w:val="21"/>
          <w:szCs w:val="21"/>
        </w:rPr>
        <w:t xml:space="preserve">	(12)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聚合方式受一条硬约束限制。对固定的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逐节点计数可得四条求和规则，例如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)-1),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v∈H(e)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其余两式同理。右端只依赖度序列，因此</w:t>
      </w:r>
      <w:r>
        <w:rPr>
          <w:rFonts w:ascii="Times New Roman" w:cs="Times New Roman" w:eastAsia="SimSun" w:hAnsi="Times New Roman"/>
          <w:b/>
          <w:bCs/>
        </w:rPr>
        <w:t xml:space="preserve">在保度约束下四个通道的重叠总量是常数</w:t>
      </w:r>
      <w:r>
        <w:rPr>
          <w:rFonts w:ascii="Times New Roman" w:cs="Times New Roman" w:eastAsia="SimSun" w:hAnsi="Times New Roman"/>
        </w:rPr>
        <w:t xml:space="preserve">；同质阶数下 (12) 的分母逐通道为常数，故无条件平均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同样被度序列锁死，无法作为可调参数。可变的是重叠的堆积方式——是让少数超边对深度共享，还是让共享摊薄到大量超边对上。据此定义条件平均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σσ'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=⟨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)≥1,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)=σ'  ⟩</w:t>
      </w:r>
      <w:r>
        <w:rPr>
          <w:rFonts w:ascii="Cambria Math" w:eastAsia="SimSun" w:hAnsi="Cambria Math"/>
          <w:sz w:val="21"/>
          <w:szCs w:val="21"/>
        </w:rPr>
        <w:t xml:space="preserve">	(14)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即在确实发生重叠的超边对上取平均，其中 </w:t>
      </w:r>
      <w:r>
        <w:rPr>
          <w:rFonts w:ascii="Cambria Math" w:eastAsia="SimSun" w:hAnsi="Cambria Math"/>
          <w:i w:val="false"/>
          <w:iCs w:val="false"/>
        </w:rPr>
        <w:t xml:space="preserve">σ(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)=(|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)|,|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)|)</w:t>
      </w:r>
      <w:r>
        <w:rPr>
          <w:rFonts w:ascii="Times New Roman" w:cs="Times New Roman" w:eastAsia="SimSun" w:hAnsi="Times New Roman"/>
        </w:rPr>
        <w:t xml:space="preserve"> 为超边的阶；该通道无重叠时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不定义。记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为该通道中发生重叠的超边对数，则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，常数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仅由度序列决定。因此调节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等价于调节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，这决定了第 V 节重连算法的实现方式。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式 (14) 中阶指标取对角块（</w:t>
      </w:r>
      <w:r>
        <w:rPr>
          <w:rFonts w:ascii="Cambria Math" w:eastAsia="SimSun" w:hAnsi="Cambria Math"/>
          <w:i w:val="false"/>
          <w:iCs w:val="false"/>
        </w:rPr>
        <w:t xml:space="preserve">σ=σ'</w:t>
      </w:r>
      <w:r>
        <w:rPr>
          <w:rFonts w:ascii="Times New Roman" w:cs="Times New Roman" w:eastAsia="SimSun" w:hAnsi="Times New Roman"/>
        </w:rPr>
        <w:t xml:space="preserve">）即阶内重叠、取非对角块即阶间重叠，与无向情形下超边重叠矩阵的对角/非对角划分一致 [28]；本文只是在其每个矩阵元上再展开出四个方向通道。同质阶数下阶指标退化，以下略去并简记为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；第 VII 节的真实数据阶数异质，届时阶指标重新生效。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互惠方向不由上述张量刻画。两条超边是否互相指回，取决于一组超边能否共同完成反向覆盖，这是超边级而非超边对级的判据。本文直接采用已有的强互惠定义 [34]：若存在一组超边，其尾集之并覆盖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且头集之并覆盖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，则称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被强互惠；取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⇄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被强互惠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(15)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采用这一定义是为了与已有测量口径一致，便于第 VII 节与真实数据的报告值并列。需要注意它与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不同类：退化关系 (11) 对它不成立，它也不进入第 IV 节转移算子的权重。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方向翻转与宇称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定义全局方向翻转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为对所有超边交换尾集与头集，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⟼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(16)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是有向超图空间上的对合（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id</w:t>
      </w:r>
      <w:r>
        <w:rPr>
          <w:rFonts w:ascii="Times New Roman" w:cs="Times New Roman" w:eastAsia="SimSun" w:hAnsi="Times New Roman"/>
        </w:rPr>
        <w:t xml:space="preserve">）。它把每个节点的入度与出度互换，把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 互换，并在四个重叠通道上作用为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TH</w:t>
      </w:r>
      <w:r>
        <w:rPr>
          <w:rFonts w:ascii="Cambria Math" w:eastAsia="SimSun" w:hAnsi="Cambria Math"/>
          <w:sz w:val="21"/>
          <w:szCs w:val="21"/>
        </w:rPr>
        <w:t xml:space="preserve">	(17)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两个串联通道并不独立。对有序超边对恒有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，故同质阶数下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逐实现相等（异质阶数下互为阶指标的转置），串联方向只携带一个分量，记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Cambria Math" w:eastAsia="SimSun" w:hAnsi="Cambria Math"/>
          <w:i w:val="false"/>
          <w:iCs w:val="false"/>
        </w:rPr>
        <w:t xml:space="preserve">=α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。四个通道在聚合层面因而只有三个独立分量。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按宇称重组：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与并联重叠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Cambria Math" w:eastAsia="SimSun" w:hAnsi="Cambria Math"/>
          <w:i w:val="false"/>
          <w:iCs w:val="false"/>
        </w:rPr>
        <w:t xml:space="preserve">=1/2(α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</w:rPr>
        <w:t xml:space="preserve">+α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下为偶，而极性失衡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Δα=1/2(α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为奇。跨结构比较（如阈值对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的依赖）必须固定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，否则三个分量的效应混在同一条扫描线上；但成对的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–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比较不受此限，因为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为偶，翻转前后取值相同，无法伪造配对差异。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</w:t>
      </w:r>
      <w:r>
        <w:rPr>
          <w:rFonts w:ascii="Times New Roman" w:cs="Times New Roman" w:eastAsia="SimSun" w:hAnsi="Times New Roman"/>
          <w:b/>
          <w:bCs/>
        </w:rPr>
        <w:t xml:space="preserve">偶</w:t>
      </w:r>
      <w:r>
        <w:rPr>
          <w:rFonts w:ascii="Times New Roman" w:cs="Times New Roman" w:eastAsia="SimSun" w:hAnsi="Times New Roman"/>
        </w:rPr>
        <w:t xml:space="preserve">：翻转互换每个节点的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(4) 的 Pearson 相关系数对其两个变量对称，故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据此可把结构量按宇称分类。本文所用结构量中，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-奇的来源有两个且相互独立：双度序列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关于分量互换的不对称性，以及极性失衡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。尾头基数之差 </w:t>
      </w:r>
      <w:r>
        <w:rPr>
          <w:rFonts w:ascii="Cambria Math" w:eastAsia="SimSun" w:hAnsi="Cambria Math"/>
          <w:i w:val="false"/>
          <w:iCs w:val="false"/>
        </w:rPr>
        <w:t xml:space="preserve">τ-η</w:t>
      </w:r>
      <w:r>
        <w:rPr>
          <w:rFonts w:ascii="Times New Roman" w:cs="Times New Roman" w:eastAsia="SimSun" w:hAnsi="Times New Roman"/>
        </w:rPr>
        <w:t xml:space="preserve"> 不是第三个独立来源——由 (3)，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互换对称蕴含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τ≠η</w:t>
      </w:r>
      <w:r>
        <w:rPr>
          <w:rFonts w:ascii="Times New Roman" w:cs="Times New Roman" w:eastAsia="SimSun" w:hAnsi="Times New Roman"/>
        </w:rPr>
        <w:t xml:space="preserve"> 只是序列不对称的一个充分标志；反之序列不对称时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仍可成立。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这一分类对终态有直接约束。设结构系综 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生成随机有向超图，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 II.B 定义的条件期望爆发规模；由于种子均匀选取，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的定义本身不引入方向偏好。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1.</w:t>
      </w:r>
      <w:r>
        <w:rPr>
          <w:rFonts w:ascii="Times New Roman" w:cs="Times New Roman" w:eastAsia="SimSun" w:hAnsi="Times New Roman"/>
          <w:color w:val="3A4A5A"/>
        </w:rPr>
        <w:t xml:space="preserve"> 若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Times New Roman" w:cs="Times New Roman" w:eastAsia="SimSun" w:hAnsi="Times New Roman"/>
          <w:color w:val="3A4A5A"/>
        </w:rPr>
        <w:t xml:space="preserve"> 下不变，即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ℙ[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]=ℙ[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</w:t>
      </w:r>
      <w:r>
        <w:rPr>
          <w:rFonts w:ascii="Times New Roman" w:cs="Times New Roman" w:eastAsia="SimSun" w:hAnsi="Times New Roman"/>
          <w:color w:val="3A4A5A"/>
        </w:rPr>
        <w:t xml:space="preserve"> 对所有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 成立，则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⟨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=⟨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∘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证明只需一次换元：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是结构空间上的可测对合，故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命题 1 的逆否形式给出方向对称性破缺的必要条件：</w:t>
      </w:r>
      <w:r>
        <w:rPr>
          <w:rFonts w:ascii="Times New Roman" w:cs="Times New Roman" w:eastAsia="SimSun" w:hAnsi="Times New Roman"/>
          <w:b/>
          <w:bCs/>
        </w:rPr>
        <w:t xml:space="preserve">系综层面的破缺要求生成系综本身破坏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Times New Roman" w:cs="Times New Roman" w:eastAsia="SimSun" w:hAnsi="Times New Roman"/>
          <w:b/>
          <w:bCs/>
        </w:rPr>
        <w:t xml:space="preserve">-不变性</w:t>
      </w:r>
      <w:r>
        <w:rPr>
          <w:rFonts w:ascii="Times New Roman" w:cs="Times New Roman" w:eastAsia="SimSun" w:hAnsi="Times New Roman"/>
        </w:rPr>
        <w:t xml:space="preserve">。在本文所用结构量中，能承载这一破坏的只有上述两个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但即便必要条件被满足，破缺也未必能在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上看到。存在一条更强的不变性，它与系综是否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-不变无关：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2.</w:t>
      </w:r>
      <w:r>
        <w:rPr>
          <w:rFonts w:ascii="Times New Roman" w:cs="Times New Roman" w:eastAsia="SimSun" w:hAnsi="Times New Roman"/>
          <w:color w:val="3A4A5A"/>
        </w:rPr>
        <w:t xml:space="preserve"> 设 (i) 终态可表示为某个随机结构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上的可达性，即从种子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出发的最终感染集为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Times New Roman" w:cs="Times New Roman" w:eastAsia="SimSun" w:hAnsi="Times New Roman"/>
          <w:color w:val="3A4A5A"/>
        </w:rPr>
        <w:t xml:space="preserve"> 中的出分支 </w:t>
      </w:r>
      <w:r>
        <w:rPr>
          <w:rFonts w:ascii="Cambria Math" w:eastAsia="SimSun" w:hAnsi="Cambria Math"/>
          <w:i/>
          <w:iCs/>
          <w:color w:val="3A4A5A"/>
        </w:rPr>
        <w:t xml:space="preserve">out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，如 [5] 的半有向流行渗流网络所给出；且 (ii)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与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的转置同分布。则对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任意</w:t>
      </w:r>
      <w:r>
        <w:rPr>
          <w:rFonts w:ascii="Times New Roman" w:cs="Times New Roman" w:eastAsia="SimSun" w:hAnsi="Times New Roman"/>
          <w:color w:val="3A4A5A"/>
        </w:rPr>
        <w:t xml:space="preserve">有向超图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，均匀单种子下的平均爆发规模在方向翻转下不变。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证明只需一次计数：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)|=#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):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 自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可达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</w:rPr>
        <w:t xml:space="preserve">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</w:t>
      </w:r>
      <w:r>
        <w:rPr>
          <w:rFonts w:ascii="Times New Roman" w:cs="Times New Roman" w:eastAsia="SimSun" w:hAnsi="Times New Roman"/>
        </w:rPr>
        <w:t xml:space="preserve">。转置把每个可达有序对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换成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，可达对的</w:t>
      </w:r>
      <w:r>
        <w:rPr>
          <w:rFonts w:ascii="Times New Roman" w:cs="Times New Roman" w:eastAsia="SimSun" w:hAnsi="Times New Roman"/>
          <w:b/>
          <w:bCs/>
        </w:rPr>
        <w:t xml:space="preserve">总数</w:t>
      </w:r>
      <w:r>
        <w:rPr>
          <w:rFonts w:ascii="Times New Roman" w:cs="Times New Roman" w:eastAsia="SimSun" w:hAnsi="Times New Roman"/>
        </w:rPr>
        <w:t xml:space="preserve">因而逐实现不变；除以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Times New Roman" w:cs="Times New Roman" w:eastAsia="SimSun" w:hAnsi="Times New Roman"/>
        </w:rPr>
        <w:t xml:space="preserve"> 即得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不变。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假设 (ii) 需要分情形讨论。取线性核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时，传播事件对每个（尾成员，头成员）对独立发生，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可在不参照种子的情况下一次抽出，(ii) 严格成立，计数恒等式因而</w:t>
      </w:r>
      <w:r>
        <w:rPr>
          <w:rFonts w:ascii="Times New Roman" w:cs="Times New Roman" w:eastAsia="SimSun" w:hAnsi="Times New Roman"/>
          <w:b/>
          <w:bCs/>
        </w:rPr>
        <w:t xml:space="preserve">逐实现精确</w:t>
      </w:r>
      <w:r>
        <w:rPr>
          <w:rFonts w:ascii="Times New Roman" w:cs="Times New Roman" w:eastAsia="SimSun" w:hAnsi="Times New Roman"/>
        </w:rPr>
        <w:t xml:space="preserve">。但本文主线的超边级阈值核不满足 (ii)：超边的激活区间是其已感染尾成员感染期的并集，取决于哪些尾成员先被感染，因而依赖种子，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不是种子无关的。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这一违背是真实的，不能当作可忽略的小量。第 VI 节在 </w:t>
      </w:r>
      <w:r>
        <w:rPr>
          <w:rFonts w:ascii="Cambria Math" w:eastAsia="SimSun" w:hAnsi="Cambria Math"/>
          <w:i w:val="false"/>
          <w:iCs w:val="false"/>
        </w:rPr>
        <w:t xml:space="preserve">τ=3,η=1</w:t>
      </w:r>
      <w:r>
        <w:rPr>
          <w:rFonts w:ascii="Times New Roman" w:cs="Times New Roman" w:eastAsia="SimSun" w:hAnsi="Times New Roman"/>
        </w:rPr>
        <w:t xml:space="preserve"> 的最不对称构型上测得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的翻转残余约为 </w:t>
      </w:r>
      <w:r>
        <w:rPr>
          <w:rFonts w:ascii="Cambria Math" w:eastAsia="SimSun" w:hAnsi="Cambria Math"/>
          <w:i w:val="false"/>
          <w:iCs w:val="false"/>
        </w:rPr>
        <w:t xml:space="preserve">-2%</w:t>
      </w:r>
      <w:r>
        <w:rPr>
          <w:rFonts w:ascii="Times New Roman" w:cs="Times New Roman" w:eastAsia="SimSun" w:hAnsi="Times New Roman"/>
        </w:rPr>
        <w:t xml:space="preserve">（阈值邻域，四个独立结构符号一致，合并 </w:t>
      </w:r>
      <w:r>
        <w:rPr>
          <w:rFonts w:ascii="Cambria Math" w:eastAsia="SimSun" w:hAnsi="Cambria Math"/>
          <w:i w:val="false"/>
          <w:iCs w:val="false"/>
        </w:rPr>
        <w:t xml:space="preserve">5σ</w:t>
      </w:r>
      <w:r>
        <w:rPr>
          <w:rFonts w:ascii="Times New Roman" w:cs="Times New Roman" w:eastAsia="SimSun" w:hAnsi="Times New Roman"/>
        </w:rPr>
        <w:t xml:space="preserve">）。它并非仿真器对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处理不均所致。在互换对称的双度序列上，命题 1 直接禁止破缺，而同一协议只给出 </w:t>
      </w:r>
      <w:r>
        <w:rPr>
          <w:rFonts w:ascii="Cambria Math" w:eastAsia="SimSun" w:hAnsi="Cambria Math"/>
          <w:i w:val="false"/>
          <w:iCs w:val="false"/>
        </w:rPr>
        <w:t xml:space="preserve">-0.36%±0.28%</w:t>
      </w:r>
      <w:r>
        <w:rPr>
          <w:rFonts w:ascii="Times New Roman" w:cs="Times New Roman" w:eastAsia="SimSun" w:hAnsi="Times New Roman"/>
        </w:rPr>
        <w:t xml:space="preserve">，与零相容；即便保守地把这一数值当作仪器基线扣除，剩余部分仍有 </w:t>
      </w:r>
      <w:r>
        <w:rPr>
          <w:rFonts w:ascii="Cambria Math" w:eastAsia="SimSun" w:hAnsi="Cambria Math"/>
          <w:i w:val="false"/>
          <w:iCs w:val="false"/>
        </w:rPr>
        <w:t xml:space="preserve">-1.88%±0.52%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3.6σ</w:t>
      </w:r>
      <w:r>
        <w:rPr>
          <w:rFonts w:ascii="Times New Roman" w:cs="Times New Roman" w:eastAsia="SimSun" w:hAnsi="Times New Roman"/>
        </w:rPr>
        <w:t xml:space="preserve">）。该效应为超边级激活所特有，成对情形与线性核下均不出现。因此命题 2 对本文主线只是</w:t>
      </w:r>
      <w:r>
        <w:rPr>
          <w:rFonts w:ascii="Times New Roman" w:cs="Times New Roman" w:eastAsia="SimSun" w:hAnsi="Times New Roman"/>
          <w:b/>
          <w:bCs/>
        </w:rPr>
        <w:t xml:space="preserve">近似</w:t>
      </w:r>
      <w:r>
        <w:rPr>
          <w:rFonts w:ascii="Times New Roman" w:cs="Times New Roman" w:eastAsia="SimSun" w:hAnsi="Times New Roman"/>
        </w:rPr>
        <w:t xml:space="preserve">结论，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并非严格不变量。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即便如此，命题 2 的结论在量级上仍然成立：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Times New Roman" w:cs="Times New Roman" w:eastAsia="SimSun" w:hAnsi="Times New Roman"/>
          <w:b/>
          <w:bCs/>
        </w:rPr>
        <w:t xml:space="preserve">是一个极差的破缺序参量</w:t>
      </w:r>
      <w:r>
        <w:rPr>
          <w:rFonts w:ascii="Times New Roman" w:cs="Times New Roman" w:eastAsia="SimSun" w:hAnsi="Times New Roman"/>
        </w:rPr>
        <w:t xml:space="preserve">。同一批构型上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在翻转下由 </w:t>
      </w:r>
      <w:r>
        <w:rPr>
          <w:rFonts w:ascii="Cambria Math" w:eastAsia="SimSun" w:hAnsi="Cambria Math"/>
          <w:i w:val="false"/>
          <w:iCs w:val="false"/>
        </w:rPr>
        <w:t xml:space="preserve">0.67</w:t>
      </w:r>
      <w:r>
        <w:rPr>
          <w:rFonts w:ascii="Times New Roman" w:cs="Times New Roman" w:eastAsia="SimSun" w:hAnsi="Times New Roman"/>
        </w:rPr>
        <w:t xml:space="preserve"> 变为 </w:t>
      </w:r>
      <w:r>
        <w:rPr>
          <w:rFonts w:ascii="Cambria Math" w:eastAsia="SimSun" w:hAnsi="Cambria Math"/>
          <w:i w:val="false"/>
          <w:iCs w:val="false"/>
        </w:rPr>
        <w:t xml:space="preserve">0.39</w:t>
      </w:r>
      <w:r>
        <w:rPr>
          <w:rFonts w:ascii="Times New Roman" w:cs="Times New Roman" w:eastAsia="SimSun" w:hAnsi="Times New Roman"/>
        </w:rPr>
        <w:t xml:space="preserve">，相对其均值的差异约 </w:t>
      </w:r>
      <w:r>
        <w:rPr>
          <w:rFonts w:ascii="Cambria Math" w:eastAsia="SimSun" w:hAnsi="Cambria Math"/>
          <w:i w:val="false"/>
          <w:iCs w:val="false"/>
        </w:rPr>
        <w:t xml:space="preserve">53%</w:t>
      </w:r>
      <w:r>
        <w:rPr>
          <w:rFonts w:ascii="Times New Roman" w:cs="Times New Roman" w:eastAsia="SimSun" w:hAnsi="Times New Roman"/>
        </w:rPr>
        <w:t xml:space="preserve">，比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残余大二十余倍。破缺出现在可达对</w:t>
      </w:r>
      <w:r>
        <w:rPr>
          <w:rFonts w:ascii="Times New Roman" w:cs="Times New Roman" w:eastAsia="SimSun" w:hAnsi="Times New Roman"/>
          <w:b/>
          <w:bCs/>
        </w:rPr>
        <w:t xml:space="preserve">如何分布</w:t>
      </w:r>
      <w:r>
        <w:rPr>
          <w:rFonts w:ascii="Times New Roman" w:cs="Times New Roman" w:eastAsia="SimSun" w:hAnsi="Times New Roman"/>
        </w:rPr>
        <w:t xml:space="preserve">，而非其总数。按 [5]，大爆发的</w:t>
      </w:r>
      <w:r>
        <w:rPr>
          <w:rFonts w:ascii="Times New Roman" w:cs="Times New Roman" w:eastAsia="SimSun" w:hAnsi="Times New Roman"/>
          <w:b/>
          <w:bCs/>
        </w:rPr>
        <w:t xml:space="preserve">概率</w:t>
      </w:r>
      <w:r>
        <w:rPr>
          <w:rFonts w:ascii="Times New Roman" w:cs="Times New Roman" w:eastAsia="SimSun" w:hAnsi="Times New Roman"/>
        </w:rPr>
        <w:t xml:space="preserve">由巨入分支的相对规模决定，而爆发的</w:t>
      </w:r>
      <w:r>
        <w:rPr>
          <w:rFonts w:ascii="Times New Roman" w:cs="Times New Roman" w:eastAsia="SimSun" w:hAnsi="Times New Roman"/>
          <w:b/>
          <w:bCs/>
        </w:rPr>
        <w:t xml:space="preserve">终态规模</w:t>
      </w:r>
      <w:r>
        <w:rPr>
          <w:rFonts w:ascii="Times New Roman" w:cs="Times New Roman" w:eastAsia="SimSun" w:hAnsi="Times New Roman"/>
        </w:rPr>
        <w:t xml:space="preserve">由巨出分支决定；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恰好交换这两者。因此本文取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Π=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(19)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为破缺的序参量，其中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cut</w:t>
      </w:r>
      <w:r>
        <w:rPr>
          <w:rFonts w:ascii="Times New Roman" w:cs="Times New Roman" w:eastAsia="SimSun" w:hAnsi="Times New Roman"/>
        </w:rPr>
        <w:t xml:space="preserve"> 为区分自限爆发与大爆发的阈值。由全期望公式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⟩=Π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̄+(1-Π)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&lt;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&lt;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≤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(20)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而命题 2 把左端近似钉住，故右端各项的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-奇部分须相互抵消至上述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的残余以内。这是一条可证伪的预言，第 VI 节将检验之——检验时须把残余本身作为已知的系统项扣除，而非视作零。注意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&lt;</w:t>
      </w:r>
      <w:r>
        <w:rPr>
          <w:rFonts w:ascii="Times New Roman" w:cs="Times New Roman" w:eastAsia="SimSun" w:hAnsi="Times New Roman"/>
        </w:rPr>
        <w:t xml:space="preserve"> 在阈值邻域并不可忽略（自限爆发的规模下界为 </w:t>
      </w: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，其贡献与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同量级），因此补偿关系须按上式逐项核算，不能简化为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⟩≈Π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的角色由此成为一个可直接检验的推论：它不能单独产生破缺。设双度序列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关于分量互换对称，即 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至多相差一个节点重标号。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把位形模型系综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映为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，后者是前者在该重标号下的像；而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与节点标号无关，故命题 1 的结论成立。关键在于这类对称序列可以取遍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∈[-1,1]</w:t>
      </w:r>
      <w:r>
        <w:rPr>
          <w:rFonts w:ascii="Times New Roman" w:cs="Times New Roman" w:eastAsia="SimSun" w:hAnsi="Times New Roman"/>
        </w:rPr>
        <w:t xml:space="preserve"> 的整个范围（例如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由若干对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组成时序列对称而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可为任意值），因此</w:t>
      </w:r>
      <w:r>
        <w:rPr>
          <w:rFonts w:ascii="Times New Roman" w:cs="Times New Roman" w:eastAsia="SimSun" w:hAnsi="Times New Roman"/>
          <w:b/>
          <w:bCs/>
        </w:rPr>
        <w:t xml:space="preserve">沿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扫描的整条线上都不应出现破缺，尽管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确实移动阈值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最后需要强调，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-奇是必要条件，却远非充分条件。宇称分类指出哪些量</w:t>
      </w:r>
      <w:r>
        <w:rPr>
          <w:rFonts w:ascii="Times New Roman" w:cs="Times New Roman" w:eastAsia="SimSun" w:hAnsi="Times New Roman"/>
          <w:b/>
          <w:bCs/>
        </w:rPr>
        <w:t xml:space="preserve">可能</w:t>
      </w:r>
      <w:r>
        <w:rPr>
          <w:rFonts w:ascii="Times New Roman" w:cs="Times New Roman" w:eastAsia="SimSun" w:hAnsi="Times New Roman"/>
        </w:rPr>
        <w:t xml:space="preserve">驱动破缺，不指出哪一个</w:t>
      </w:r>
      <w:r>
        <w:rPr>
          <w:rFonts w:ascii="Times New Roman" w:cs="Times New Roman" w:eastAsia="SimSun" w:hAnsi="Times New Roman"/>
          <w:b/>
          <w:bCs/>
        </w:rPr>
        <w:t xml:space="preserve">实际</w:t>
      </w:r>
      <w:r>
        <w:rPr>
          <w:rFonts w:ascii="Times New Roman" w:cs="Times New Roman" w:eastAsia="SimSun" w:hAnsi="Times New Roman"/>
        </w:rPr>
        <w:t xml:space="preserve">驱动——后者是动力学问题，分类本身无从回答。第 VI 节的结论是两个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-奇来源分野明显：分支结构的不对称（阶数与双度序列）驱动的破缺在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上是显著效应，而重叠极性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尽管同为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-奇，其效应随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增大始终不可分辨，只能给出上界。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据此，第 VI 节破缺实验的设计为：全部测量以 </w:t>
      </w:r>
      <w:r>
        <w:rPr>
          <w:rFonts w:ascii="Cambria Math" w:eastAsia="SimSun" w:hAnsi="Cambria Math"/>
          <w:i w:val="false"/>
          <w:iCs w:val="false"/>
        </w:rPr>
        <w:t xml:space="preserve">(Π,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̄)</w:t>
      </w:r>
      <w:r>
        <w:rPr>
          <w:rFonts w:ascii="Times New Roman" w:cs="Times New Roman" w:eastAsia="SimSun" w:hAnsi="Times New Roman"/>
        </w:rPr>
        <w:t xml:space="preserve"> 为序参量而非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；主实验驱动分支结构的不对称，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的效应作为独立扫描给出上界；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扫描作为阴性对照；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的近似不变性作为内部一致性检查，其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残余须与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的破缺幅度并列报告，以显示二者相差一个多数量级。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命题 1 与命题 2 都是关于系综平均的陈述。对单个实现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一般不等，其差为有限尺寸涨落，随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增大而趋零。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III. 并发型边基房室方程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空腔构造与闭合假设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成对网络上的边基房室模型（EBCM）以"沿一条边尚未传来感染"的概率为核心变量，把 SIR 的含时演化压缩到少数常微分方程 [6, 7]。移到有向超图上有两重并发需要处理：一个头节点同时暴露于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条超边，而每条超边内又有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个尾成员同时向它施压。前一重可以因子化，后一重不能——本小节说明界线在哪里。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固定一个</w:t>
      </w:r>
      <w:r>
        <w:rPr>
          <w:rFonts w:ascii="Times New Roman" w:cs="Times New Roman" w:eastAsia="SimSun" w:hAnsi="Times New Roman"/>
          <w:b/>
          <w:bCs/>
        </w:rPr>
        <w:t xml:space="preserve">检验节点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，人为令其永久保持易感（空腔节点），并取一条以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为头成员的超边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，即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。定义边基变量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到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时刻尚未向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传递感染]</w:t>
      </w:r>
      <w:r>
        <w:rPr>
          <w:rFonts w:ascii="Cambria Math" w:eastAsia="SimSun" w:hAnsi="Cambria Math"/>
          <w:sz w:val="21"/>
          <w:szCs w:val="21"/>
        </w:rPr>
        <w:t xml:space="preserve">	(21)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II.B 的速率规则，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在时刻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 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施压，故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exp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[-β∫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]⟩</w:t>
      </w:r>
      <w:r>
        <w:rPr>
          <w:rFonts w:ascii="Cambria Math" w:eastAsia="SimSun" w:hAnsi="Cambria Math"/>
          <w:sz w:val="21"/>
          <w:szCs w:val="21"/>
        </w:rPr>
        <w:t xml:space="preserve">	(22)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主线取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，此时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)=1[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≥1]</w:t>
      </w:r>
      <w:r>
        <w:rPr>
          <w:rFonts w:ascii="Times New Roman" w:cs="Times New Roman" w:eastAsia="SimSun" w:hAnsi="Times New Roman"/>
        </w:rPr>
        <w:t xml:space="preserve">，指数上的积分即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</w:t>
      </w:r>
      <w:r>
        <w:rPr>
          <w:rFonts w:ascii="Times New Roman" w:cs="Times New Roman" w:eastAsia="SimSun" w:hAnsi="Times New Roman"/>
          <w:b/>
          <w:bCs/>
        </w:rPr>
        <w:t xml:space="preserve">激活时长</w:t>
      </w:r>
      <w:r>
        <w:rPr>
          <w:rFonts w:ascii="Times New Roman" w:cs="Times New Roman" w:eastAsia="SimSun" w:hAnsi="Times New Roman"/>
        </w:rPr>
        <w:t xml:space="preserve">，也就是其各尾成员感染期之</w:t>
      </w:r>
      <w:r>
        <w:rPr>
          <w:rFonts w:ascii="Times New Roman" w:cs="Times New Roman" w:eastAsia="SimSun" w:hAnsi="Times New Roman"/>
          <w:b/>
          <w:bCs/>
        </w:rPr>
        <w:t xml:space="preserve">并</w:t>
      </w:r>
      <w:r>
        <w:rPr>
          <w:rFonts w:ascii="Times New Roman" w:cs="Times New Roman" w:eastAsia="SimSun" w:hAnsi="Times New Roman"/>
        </w:rPr>
        <w:t xml:space="preserve">的测度。并的测度不等于各成员贡献之和，因而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)≠∏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朴素的逐成员乘积闭合在此失效。这与 II.D 中破坏命题 2 假设 (ii) 的是同一件事——超边级激活：一条超边只有一个激活时钟，它由全体尾成员共同驱动，又被全体头成员共享。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闭合建立在两条假设上。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(H1) 局域树状。</w:t>
      </w:r>
      <w:r>
        <w:rPr>
          <w:rFonts w:ascii="Times New Roman" w:cs="Times New Roman" w:eastAsia="SimSun" w:hAnsi="Times New Roman"/>
        </w:rPr>
        <w:t xml:space="preserve"> 位形模型系综在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时局域收敛于树，任一有限邻域内出现回路的概率为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。据此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条入超边的上游分支互不相交，第一重并发因子化：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</w:t>
      </w:r>
      <w:r>
        <w:rPr>
          <w:rFonts w:ascii="Cambria Math" w:eastAsia="SimSun" w:hAnsi="Cambria Math"/>
          <w:sz w:val="21"/>
          <w:szCs w:val="21"/>
        </w:rPr>
        <w:t xml:space="preserve">	(24)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 为初始均匀感染比例。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(H2) 尾内无相互作用。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不在其尾成员之间传递感染；结合 (H1)，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个成员处在互不相交的上游分支，其感染时刻因而相互独立。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(H2) 是有向结构特有的。无向超图中同一条超边内的节点相互施加影响，"尾成员相互独立"根本无从谈起；正是尾与头的分离，使第二重并发退化为"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个独立个体驱动同一个共享时钟"，从而可由一个低维状态刻画。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还需注意一处</w:t>
      </w:r>
      <w:r>
        <w:rPr>
          <w:rFonts w:ascii="Times New Roman" w:cs="Times New Roman" w:eastAsia="SimSun" w:hAnsi="Times New Roman"/>
          <w:b/>
          <w:bCs/>
        </w:rPr>
        <w:t xml:space="preserve">度偏置</w:t>
      </w:r>
      <w:r>
        <w:rPr>
          <w:rFonts w:ascii="Times New Roman" w:cs="Times New Roman" w:eastAsia="SimSun" w:hAnsi="Times New Roman"/>
        </w:rPr>
        <w:t xml:space="preserve">。沿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的一个尾槽到达的节点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是按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加权抽取的，而决定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何时被感染的是它的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=∅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本身不属于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的入超边，因而</w:t>
      </w:r>
      <w:r>
        <w:rPr>
          <w:rFonts w:ascii="Times New Roman" w:cs="Times New Roman" w:eastAsia="SimSun" w:hAnsi="Times New Roman"/>
          <w:b/>
          <w:bCs/>
        </w:rPr>
        <w:t xml:space="preserve">不出现无向 EBCM 中的余度相减</w:t>
      </w:r>
      <w:r>
        <w:rPr>
          <w:rFonts w:ascii="Times New Roman" w:cs="Times New Roman" w:eastAsia="SimSun" w:hAnsi="Times New Roman"/>
        </w:rPr>
        <w:t xml:space="preserve">——偏置变量与计数变量是两个不同的量。据此定义尾侧生成函数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k_in,k_out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k_in</w:t>
      </w:r>
      <w:r>
        <w:rPr>
          <w:rFonts w:ascii="Cambria Math" w:eastAsia="SimSun" w:hAnsi="Cambria Math"/>
          <w:sz w:val="21"/>
          <w:szCs w:val="21"/>
        </w:rPr>
        <w:t xml:space="preserve">	(25)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 显式依赖于</w:t>
      </w:r>
      <w:r>
        <w:rPr>
          <w:rFonts w:ascii="Times New Roman" w:cs="Times New Roman" w:eastAsia="SimSun" w:hAnsi="Times New Roman"/>
          <w:b/>
          <w:bCs/>
        </w:rPr>
        <w:t xml:space="preserve">联合</w:t>
      </w:r>
      <w:r>
        <w:rPr>
          <w:rFonts w:ascii="Times New Roman" w:cs="Times New Roman" w:eastAsia="SimSun" w:hAnsi="Times New Roman"/>
        </w:rPr>
        <w:t xml:space="preserve">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(24)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只依赖于其边际。这是 II.A 的入出度相关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进入动力学的解析通道，也是下文阈值公式中唯一承载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的位置。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方程组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(H2)，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个尾成员相互独立，其联合状态可由计数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概括：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个易感、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个感染、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 个康复，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=τ</w:t>
      </w:r>
      <w:r>
        <w:rPr>
          <w:rFonts w:ascii="Times New Roman" w:cs="Times New Roman" w:eastAsia="SimSun" w:hAnsi="Times New Roman"/>
        </w:rPr>
        <w:t xml:space="preserve">。定义</w:t>
      </w:r>
      <w:r>
        <w:rPr>
          <w:rFonts w:ascii="Times New Roman" w:cs="Times New Roman" w:eastAsia="SimSun" w:hAnsi="Times New Roman"/>
          <w:b/>
          <w:bCs/>
        </w:rPr>
        <w:t xml:space="preserve">未传递子概率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∧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处于状态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)]</w:t>
      </w:r>
      <w:r>
        <w:rPr>
          <w:rFonts w:ascii="Cambria Math" w:eastAsia="SimSun" w:hAnsi="Cambria Math"/>
          <w:sz w:val="21"/>
          <w:szCs w:val="21"/>
        </w:rPr>
        <w:t xml:space="preserve">	(26)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a+b+c=τ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，而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b≥θ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为"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处于激活态且尚未传递"的概率。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尾成员的感染是一个时间非齐次的 Markov 过程。由 (24) 与 (25)，一个尾成员到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时刻仍易感的概率为 </w:t>
      </w:r>
      <w:r>
        <w:rPr>
          <w:rFonts w:ascii="Cambria Math" w:eastAsia="SimSun" w:hAnsi="Cambria Math"/>
          <w:i w:val="false"/>
          <w:iCs w:val="false"/>
        </w:rPr>
        <w:t xml:space="preserve">(1-ε)ψ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</w:rPr>
        <w:t xml:space="preserve">(Φ(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，其瞬时风险率因而是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ln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[(1-ε)ψ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(Φ)] =β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(Φ))/(ψ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</w:t>
      </w:r>
      <w:r>
        <w:rPr>
          <w:rFonts w:ascii="Cambria Math" w:eastAsia="SimSun" w:hAnsi="Cambria Math"/>
          <w:sz w:val="21"/>
          <w:szCs w:val="21"/>
        </w:rPr>
        <w:t xml:space="preserve">	(28)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末一步用了下面的 (30)。向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的传递以速率 </w:t>
      </w:r>
      <w:r>
        <w:rPr>
          <w:rFonts w:ascii="Cambria Math" w:eastAsia="SimSun" w:hAnsi="Cambria Math"/>
          <w:i w:val="false"/>
          <w:iCs w:val="false"/>
        </w:rPr>
        <w:t xml:space="preserve">β 1[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≥θ]</w:t>
      </w:r>
      <w:r>
        <w:rPr>
          <w:rFonts w:ascii="Times New Roman" w:cs="Times New Roman" w:eastAsia="SimSun" w:hAnsi="Times New Roman"/>
        </w:rPr>
        <w:t xml:space="preserve"> 把概率移出"未传递"类，即一个</w:t>
      </w:r>
      <w:r>
        <w:rPr>
          <w:rFonts w:ascii="Times New Roman" w:cs="Times New Roman" w:eastAsia="SimSun" w:hAnsi="Times New Roman"/>
          <w:b/>
          <w:bCs/>
        </w:rPr>
        <w:t xml:space="preserve">带湮灭的 Markov 链</w:t>
      </w:r>
      <w:r>
        <w:rPr>
          <w:rFonts w:ascii="Times New Roman" w:cs="Times New Roman" w:eastAsia="SimSun" w:hAnsi="Times New Roman"/>
        </w:rPr>
        <w:t xml:space="preserve">。据此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a+1,b-1,c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+μ[(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a,b+1,c-1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-β 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sz w:val="21"/>
          <w:szCs w:val="21"/>
        </w:rPr>
        <w:t xml:space="preserve">	(29)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（越界下标记为零）。对 (29) 求和，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项各自守恒而相消，只余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Φ̇=-β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sz w:val="21"/>
          <w:szCs w:val="21"/>
        </w:rPr>
        <w:t xml:space="preserve">	(30)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(28) 自洽。终态由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̇=μ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=1-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与 (24) 闭合。初始条件为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a,τ-a,0</w:t>
      </w:r>
      <w:r>
        <w:rPr>
          <w:rFonts w:ascii="Cambria Math" w:eastAsia="SimSun" w:hAnsi="Cambria Math"/>
          <w:i w:val="false"/>
          <w:iCs w:val="false"/>
        </w:rPr>
        <w:t xml:space="preserve">(0)=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(τ,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)(1-ε)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τ-a</w:t>
      </w:r>
      <w:r>
        <w:rPr>
          <w:rFonts w:ascii="Times New Roman" w:cs="Times New Roman" w:eastAsia="SimSun" w:hAnsi="Times New Roman"/>
        </w:rPr>
        <w:t xml:space="preserve">，其余为零。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方程 (24) 与 (29)–(30) 构成一个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(τ+2, 2)+1</w:t>
      </w:r>
      <w:r>
        <w:rPr>
          <w:rFonts w:ascii="Times New Roman" w:cs="Times New Roman" w:eastAsia="SimSun" w:hAnsi="Times New Roman"/>
        </w:rPr>
        <w:t xml:space="preserve"> 维闭系统：</w:t>
      </w:r>
      <w:r>
        <w:rPr>
          <w:rFonts w:ascii="Cambria Math" w:eastAsia="SimSun" w:hAnsi="Cambria Math"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</w:rPr>
        <w:t xml:space="preserve"> 时 7 个方程，</w:t>
      </w:r>
      <w:r>
        <w:rPr>
          <w:rFonts w:ascii="Cambria Math" w:eastAsia="SimSun" w:hAnsi="Cambria Math"/>
          <w:i w:val="false"/>
          <w:iCs w:val="false"/>
        </w:rPr>
        <w:t xml:space="preserve">τ=3</w:t>
      </w:r>
      <w:r>
        <w:rPr>
          <w:rFonts w:ascii="Times New Roman" w:cs="Times New Roman" w:eastAsia="SimSun" w:hAnsi="Times New Roman"/>
        </w:rPr>
        <w:t xml:space="preserve"> 时 11 个，维数与系统规模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无关。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此时只有三个变量，(29) 化为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sz w:val="21"/>
          <w:szCs w:val="21"/>
        </w:rPr>
        <w:t xml:space="preserve">	(31)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这正是成对 EBCM 的 </w:t>
      </w:r>
      <w:r>
        <w:rPr>
          <w:rFonts w:ascii="Cambria Math" w:eastAsia="SimSun" w:hAnsi="Cambria Math"/>
          <w:i w:val="false"/>
          <w:iCs w:val="false"/>
        </w:rPr>
        <w:t xml:space="preserve">(θ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三元组 [7]，唯一的替换是把余度生成函数换成 (25)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一条精确恒等式。</w:t>
      </w:r>
      <w:r>
        <w:rPr>
          <w:rFonts w:ascii="Times New Roman" w:cs="Times New Roman" w:eastAsia="SimSun" w:hAnsi="Times New Roman"/>
        </w:rPr>
        <w:t xml:space="preserve"> 全部尾成员易感蕴含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从未激活，因而必未传递，故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)=[(1-ε)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τ</w:t>
      </w:r>
      <w:r>
        <w:rPr>
          <w:rFonts w:ascii="Cambria Math" w:eastAsia="SimSun" w:hAnsi="Cambria Math"/>
          <w:sz w:val="21"/>
          <w:szCs w:val="21"/>
        </w:rPr>
        <w:t xml:space="preserve">	(32)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对一切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成立。(32) 不是额外假设，而是 (29) 的推论：对右端求导得 </w:t>
      </w:r>
      <w:r>
        <w:rPr>
          <w:rFonts w:ascii="Cambria Math" w:eastAsia="SimSun" w:hAnsi="Cambria Math"/>
          <w:i w:val="false"/>
          <w:iCs w:val="false"/>
        </w:rPr>
        <w:t xml:space="preserve">-τ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Times New Roman" w:cs="Times New Roman" w:eastAsia="SimSun" w:hAnsi="Times New Roman"/>
        </w:rPr>
        <w:t xml:space="preserve">，与 (29) 在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)=(τ,0,0)</w:t>
      </w:r>
      <w:r>
        <w:rPr>
          <w:rFonts w:ascii="Times New Roman" w:cs="Times New Roman" w:eastAsia="SimSun" w:hAnsi="Times New Roman"/>
        </w:rPr>
        <w:t xml:space="preserve"> 处逐项相同。它为数值积分提供了一条无需仿真的自检。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  <w:b/>
          <w:bCs/>
        </w:rPr>
        <w:t xml:space="preserve">。</w:t>
      </w:r>
      <w:r>
        <w:rPr>
          <w:rFonts w:ascii="Times New Roman" w:cs="Times New Roman" w:eastAsia="SimSun" w:hAnsi="Times New Roman"/>
        </w:rPr>
        <w:t xml:space="preserve"> (29) 中只有湮灭项的指示函数依赖于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，故方程组对任意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形式不变。但下一小节的阈值分析不再适用：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时单个感染尾成员不足以激活超边，(29) 在无病定态附近的线性化没有增长模式，这与 II.B 所述 bootstrap 图像一致，须按第 IV 节的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途径处理。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爆发阈值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κ≡ψ'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(1)=(⟨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(33)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ε→0</w:t>
      </w:r>
      <w:r>
        <w:rPr>
          <w:rFonts w:ascii="Times New Roman" w:cs="Times New Roman" w:eastAsia="SimSun" w:hAnsi="Times New Roman"/>
        </w:rPr>
        <w:t xml:space="preserve"> 时无病定态为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、其余为零、</w:t>
      </w:r>
      <w:r>
        <w:rPr>
          <w:rFonts w:ascii="Cambria Math" w:eastAsia="SimSun" w:hAnsi="Cambria Math"/>
          <w:i w:val="false"/>
          <w:iCs w:val="false"/>
        </w:rPr>
        <w:t xml:space="preserve">Φ=1</w:t>
      </w:r>
      <w:r>
        <w:rPr>
          <w:rFonts w:ascii="Times New Roman" w:cs="Times New Roman" w:eastAsia="SimSun" w:hAnsi="Times New Roman"/>
        </w:rPr>
        <w:t xml:space="preserve">。一阶量只有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τ-1,1,0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τ-1,0,1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≥2</w:t>
      </w:r>
      <w:r>
        <w:rPr>
          <w:rFonts w:ascii="Times New Roman" w:cs="Times New Roman" w:eastAsia="SimSun" w:hAnsi="Times New Roman"/>
        </w:rPr>
        <w:t xml:space="preserve"> 的态为二阶。由 (28) 有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≃βκ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，代入 (29) 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̇=[τβκ-(μ+β)]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sz w:val="21"/>
          <w:szCs w:val="21"/>
        </w:rPr>
        <w:t xml:space="preserve">	(34)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Times New Roman" w:cs="Times New Roman" w:eastAsia="SimSun" w:hAnsi="Times New Roman"/>
        </w:rPr>
        <w:t xml:space="preserve"> 不反馈到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，故阈值由 </w:t>
      </w:r>
      <w:r>
        <w:rPr>
          <w:rFonts w:ascii="Cambria Math" w:eastAsia="SimSun" w:hAnsi="Cambria Math"/>
          <w:i w:val="false"/>
          <w:iCs w:val="false"/>
        </w:rPr>
        <w:t xml:space="preserve">τβκ=μ+β</w:t>
      </w:r>
      <w:r>
        <w:rPr>
          <w:rFonts w:ascii="Times New Roman" w:cs="Times New Roman" w:eastAsia="SimSun" w:hAnsi="Times New Roman"/>
        </w:rPr>
        <w:t xml:space="preserve"> 单独给出。以 </w:t>
      </w:r>
      <w:r>
        <w:rPr>
          <w:rFonts w:ascii="Cambria Math" w:eastAsia="SimSun" w:hAnsi="Cambria Math"/>
          <w:i w:val="false"/>
          <w:iCs w:val="false"/>
        </w:rPr>
        <w:t xml:space="preserve">λ=β/μ</w:t>
      </w:r>
      <w:r>
        <w:rPr>
          <w:rFonts w:ascii="Times New Roman" w:cs="Times New Roman" w:eastAsia="SimSun" w:hAnsi="Times New Roman"/>
        </w:rPr>
        <w:t xml:space="preserve"> 表示，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=(1)/(τκ-1),  τκ&gt;1</w:t>
      </w:r>
      <w:r>
        <w:rPr>
          <w:rFonts w:ascii="Cambria Math" w:eastAsia="SimSun" w:hAnsi="Cambria Math"/>
          <w:sz w:val="21"/>
          <w:szCs w:val="21"/>
        </w:rPr>
        <w:t xml:space="preserve">	(35)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τκ≤1</w:t>
      </w:r>
      <w:r>
        <w:rPr>
          <w:rFonts w:ascii="Times New Roman" w:cs="Times New Roman" w:eastAsia="SimSun" w:hAnsi="Times New Roman"/>
        </w:rPr>
        <w:t xml:space="preserve"> 时不存在有限阈值。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分支解释自洽。</w:t>
      </w:r>
      <w:r>
        <w:rPr>
          <w:rFonts w:ascii="Times New Roman" w:cs="Times New Roman" w:eastAsia="SimSun" w:hAnsi="Times New Roman"/>
        </w:rPr>
        <w:t xml:space="preserve"> 一个感染的尾成员使其超边激活，超边在该成员的感染期内以速率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 向每个头成员施压，故对给定头成员的传递概率为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。从尾侧计数得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；从头侧计数，新感染节点的出度按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=η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。由握手关系 (3) 有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，两式因而恒等：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 =η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两种数法给出同一个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，且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 与 (35) 等价。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(35) 化为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=[⟨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⟩-1]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Times New Roman" w:cs="Times New Roman" w:eastAsia="SimSun" w:hAnsi="Times New Roman"/>
        </w:rPr>
        <w:t xml:space="preserve">，即有向随机图上 SIR 的已知阈值 [11, 12]。需要强调，令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并</w:t>
      </w:r>
      <w:r>
        <w:rPr>
          <w:rFonts w:ascii="Times New Roman" w:cs="Times New Roman" w:eastAsia="SimSun" w:hAnsi="Times New Roman"/>
          <w:b/>
          <w:bCs/>
        </w:rPr>
        <w:t xml:space="preserve">不</w:t>
      </w:r>
      <w:r>
        <w:rPr>
          <w:rFonts w:ascii="Times New Roman" w:cs="Times New Roman" w:eastAsia="SimSun" w:hAnsi="Times New Roman"/>
        </w:rPr>
        <w:t xml:space="preserve">回到无向网络的结果：无向情形的余度相减源于"来路那条边不可再用"，而有向情形下来路超边根本不在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的入超边之列。(35) 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来自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 里的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，与余度无关。两者是不同的结构，不应混为一谈。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阈值对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的依赖。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⟩+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k_out</w:t>
      </w:r>
      <w:r>
        <w:rPr>
          <w:rFonts w:ascii="Times New Roman" w:cs="Times New Roman" w:eastAsia="SimSun" w:hAnsi="Times New Roman"/>
        </w:rPr>
        <w:t xml:space="preserve"> 与握手关系 (3)，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τκ=τ⟨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sz w:val="21"/>
          <w:szCs w:val="21"/>
        </w:rPr>
        <w:t xml:space="preserve">	(37)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=[τ⟨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-1</w:t>
      </w:r>
      <w:r>
        <w:rPr>
          <w:rFonts w:ascii="Cambria Math" w:eastAsia="SimSun" w:hAnsi="Cambria Math"/>
          <w:sz w:val="21"/>
          <w:szCs w:val="21"/>
        </w:rPr>
        <w:t xml:space="preserve">	(38)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在两条边际度序列固定时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的严格减函数：正的入出度相关促进传播。这是第 VI 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扫描的定量预言。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一个否定性推论。</w:t>
      </w:r>
      <w:r>
        <w:rPr>
          <w:rFonts w:ascii="Times New Roman" w:cs="Times New Roman" w:eastAsia="SimSun" w:hAnsi="Times New Roman"/>
        </w:rPr>
        <w:t xml:space="preserve"> (35) 只依赖于阶数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与双度序列（经由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）。II.C 的重叠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在双度序列固定时仍可自由调节，因而</w:t>
      </w:r>
      <w:r>
        <w:rPr>
          <w:rFonts w:ascii="Times New Roman" w:cs="Times New Roman" w:eastAsia="SimSun" w:hAnsi="Times New Roman"/>
          <w:b/>
          <w:bCs/>
        </w:rPr>
        <w:t xml:space="preserve">在树状闭合内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λ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  <w:b/>
          <w:bCs/>
        </w:rPr>
        <w:t xml:space="preserve"> 与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  <w:b/>
          <w:bCs/>
        </w:rPr>
        <w:t xml:space="preserve"> 无关</w:t>
      </w:r>
      <w:r>
        <w:rPr>
          <w:rFonts w:ascii="Times New Roman" w:cs="Times New Roman" w:eastAsia="SimSun" w:hAnsi="Times New Roman"/>
        </w:rPr>
        <w:t xml:space="preserve">。这不是疏漏而是可检验的预言：重叠恰好度量超边之间共享节点的程度，也就是 (H1) 所排除的短回路。第 VI 节若测得阈值随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移动，其幅度即为树状闭合失效的定量刻度；若测不到，则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的作用只体现在阈值以外的量上。无论哪一种结果，都是有内容的。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与均场闭合的比较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同一模型的度均场闭合是：设节点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的感染概率为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Times New Roman" w:cs="Times New Roman" w:eastAsia="SimSun" w:hAnsi="Times New Roman"/>
        </w:rPr>
        <w:t xml:space="preserve">，把其入超边的激活概率取为系综平均 </w:t>
      </w:r>
      <w:r>
        <w:rPr>
          <w:rFonts w:ascii="Cambria Math" w:eastAsia="SimSun" w:hAnsi="Cambria Math"/>
          <w:i w:val="false"/>
          <w:iCs w:val="false"/>
        </w:rPr>
        <w:t xml:space="preserve">Θ=1-(1-φ)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），其中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/Σ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为尾槽被感染节点占据的比例，则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sz w:val="21"/>
          <w:szCs w:val="21"/>
        </w:rPr>
        <w:t xml:space="preserve">	(39)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线性化给出 </w:t>
      </w:r>
      <w:r>
        <w:rPr>
          <w:rFonts w:ascii="Cambria Math" w:eastAsia="SimSun" w:hAnsi="Cambria Math"/>
          <w:i w:val="false"/>
          <w:iCs w:val="false"/>
        </w:rPr>
        <w:t xml:space="preserve">φ̇=(βτκ-μ)φ</w:t>
      </w:r>
      <w:r>
        <w:rPr>
          <w:rFonts w:ascii="Times New Roman" w:cs="Times New Roman" w:eastAsia="SimSun" w:hAnsi="Times New Roman"/>
        </w:rPr>
        <w:t xml:space="preserve">，即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=(1)/(τκ)</w:t>
      </w:r>
      <w:r>
        <w:rPr>
          <w:rFonts w:ascii="Cambria Math" w:eastAsia="SimSun" w:hAnsi="Cambria Math"/>
          <w:sz w:val="21"/>
          <w:szCs w:val="21"/>
        </w:rPr>
        <w:t xml:space="preserve">	(40)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(35) 相比，均场丢掉的恰是分母中的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，其来源可以精确指出：均场把一个尾成员在整个感染期内向同一头成员的传递概率记作 </w:t>
      </w:r>
      <w:r>
        <w:rPr>
          <w:rFonts w:ascii="Cambria Math" w:eastAsia="SimSun" w:hAnsi="Cambria Math"/>
          <w:i w:val="false"/>
          <w:iCs w:val="false"/>
        </w:rPr>
        <w:t xml:space="preserve">β/μ=λ</w:t>
      </w:r>
      <w:r>
        <w:rPr>
          <w:rFonts w:ascii="Times New Roman" w:cs="Times New Roman" w:eastAsia="SimSun" w:hAnsi="Times New Roman"/>
        </w:rPr>
        <w:t xml:space="preserve">，而实际为 </w:t>
      </w:r>
      <w:r>
        <w:rPr>
          <w:rFonts w:ascii="Cambria Math" w:eastAsia="SimSun" w:hAnsi="Cambria Math"/>
          <w:i w:val="false"/>
          <w:iCs w:val="false"/>
        </w:rPr>
        <w:t xml:space="preserve">β/(β+μ)=λ/(1+λ)</w:t>
      </w:r>
      <w:r>
        <w:rPr>
          <w:rFonts w:ascii="Times New Roman" w:cs="Times New Roman" w:eastAsia="SimSun" w:hAnsi="Times New Roman"/>
        </w:rPr>
        <w:t xml:space="preserve">——超边一旦向某头成员传递即对它用尽，均场没有这一条件。相对误差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)=(τκ)/(τκ-1)</w:t>
      </w:r>
      <w:r>
        <w:rPr>
          <w:rFonts w:ascii="Cambria Math" w:eastAsia="SimSun" w:hAnsi="Cambria Math"/>
          <w:sz w:val="21"/>
          <w:szCs w:val="21"/>
        </w:rPr>
        <w:t xml:space="preserve">	(41)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 </w:t>
      </w:r>
      <w:r>
        <w:rPr>
          <w:rFonts w:ascii="Cambria Math" w:eastAsia="SimSun" w:hAnsi="Cambria Math"/>
          <w:i w:val="false"/>
          <w:iCs w:val="false"/>
        </w:rPr>
        <w:t xml:space="preserve">τκ→1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+</w:t>
      </w:r>
      <w:r>
        <w:rPr>
          <w:rFonts w:ascii="Times New Roman" w:cs="Times New Roman" w:eastAsia="SimSun" w:hAnsi="Times New Roman"/>
        </w:rPr>
        <w:t xml:space="preserve"> 时发散：</w:t>
      </w:r>
      <w:r>
        <w:rPr>
          <w:rFonts w:ascii="Times New Roman" w:cs="Times New Roman" w:eastAsia="SimSun" w:hAnsi="Times New Roman"/>
          <w:b/>
          <w:bCs/>
        </w:rPr>
        <w:t xml:space="preserve">均场的误差在阈值邻域最大</w:t>
      </w:r>
      <w:r>
        <w:rPr>
          <w:rFonts w:ascii="Times New Roman" w:cs="Times New Roman" w:eastAsia="SimSun" w:hAnsi="Times New Roman"/>
        </w:rPr>
        <w:t xml:space="preserve">，而这正是最需要理论的区域。这与成对网络上 EBCM 相对均场的增益同源 [6, 7]，本文把它推广到有向超图并给出闭式。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需要说明，(39) 是我们为本模型构造的均场对照，而非 [41] 中模型的复述——后者是社会传播而非 SIR，其方向性由单一标量强度参数调节。此处比较的是</w:t>
      </w:r>
      <w:r>
        <w:rPr>
          <w:rFonts w:ascii="Times New Roman" w:cs="Times New Roman" w:eastAsia="SimSun" w:hAnsi="Times New Roman"/>
          <w:b/>
          <w:bCs/>
        </w:rPr>
        <w:t xml:space="preserve">闭合层级</w:t>
      </w:r>
      <w:r>
        <w:rPr>
          <w:rFonts w:ascii="Times New Roman" w:cs="Times New Roman" w:eastAsia="SimSun" w:hAnsi="Times New Roman"/>
        </w:rPr>
        <w:t xml:space="preserve">，不是两项工作的模型。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E. 数值校验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校验分三层：闭合内部的自洽、闭合对精确仿真的复现、以及结构预言。脚本见 </w:t>
      </w:r>
      <w:r>
        <w:rPr>
          <w:rFonts w:ascii="Consolas" w:eastAsia="SimSun" w:hAnsi="Consolas"/>
        </w:rPr>
        <w:t xml:space="preserve">tools/ebcm_directed.py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onsolas" w:eastAsia="SimSun" w:hAnsi="Consolas"/>
        </w:rPr>
        <w:t xml:space="preserve">tools/section3_data.py</w:t>
      </w:r>
      <w:r>
        <w:rPr>
          <w:rFonts w:ascii="Times New Roman" w:cs="Times New Roman" w:eastAsia="SimSun" w:hAnsi="Times New Roman"/>
        </w:rPr>
        <w:t xml:space="preserve">；仿真为 II.B 所定义连续时间 Markov 过程的精确 Gillespie 抽样 [42]，取 </w:t>
      </w:r>
      <w:r>
        <w:rPr>
          <w:rFonts w:ascii="Cambria Math" w:eastAsia="SimSun" w:hAnsi="Cambria Math"/>
          <w:i w:val="false"/>
          <w:iCs w:val="false"/>
        </w:rPr>
        <w:t xml:space="preserve">μ=1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内部自洽。</w:t>
      </w:r>
      <w:r>
        <w:rPr>
          <w:rFonts w:ascii="Times New Roman" w:cs="Times New Roman" w:eastAsia="SimSun" w:hAnsi="Times New Roman"/>
        </w:rPr>
        <w:t xml:space="preserve"> 恒等式 (32) 的残差随 Euler 步长线性收敛：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0.008</w:t>
      </w:r>
      <w:r>
        <w:rPr>
          <w:rFonts w:ascii="Times New Roman" w:cs="Times New Roman" w:eastAsia="SimSun" w:hAnsi="Times New Roman"/>
        </w:rPr>
        <w:t xml:space="preserve"> 逐次减半至 </w:t>
      </w:r>
      <w:r>
        <w:rPr>
          <w:rFonts w:ascii="Cambria Math" w:eastAsia="SimSun" w:hAnsi="Cambria Math"/>
          <w:i w:val="false"/>
          <w:iCs w:val="false"/>
        </w:rPr>
        <w:t xml:space="preserve">0.001</w:t>
      </w:r>
      <w:r>
        <w:rPr>
          <w:rFonts w:ascii="Times New Roman" w:cs="Times New Roman" w:eastAsia="SimSun" w:hAnsi="Times New Roman"/>
        </w:rPr>
        <w:t xml:space="preserve"> 时，最大残差由 </w:t>
      </w:r>
      <w:r>
        <w:rPr>
          <w:rFonts w:ascii="Cambria Math" w:eastAsia="SimSun" w:hAnsi="Cambria Math"/>
          <w:i w:val="false"/>
          <w:iCs w:val="false"/>
        </w:rPr>
        <w:t xml:space="preserve">7.13×10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 降至 </w:t>
      </w:r>
      <w:r>
        <w:rPr>
          <w:rFonts w:ascii="Cambria Math" w:eastAsia="SimSun" w:hAnsi="Cambria Math"/>
          <w:i w:val="false"/>
          <w:iCs w:val="false"/>
        </w:rPr>
        <w:t xml:space="preserve">8.89×10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，相邻比值三次均为 </w:t>
      </w:r>
      <w:r>
        <w:rPr>
          <w:rFonts w:ascii="Cambria Math" w:eastAsia="SimSun" w:hAnsi="Cambria Math"/>
          <w:i w:val="false"/>
          <w:iCs w:val="false"/>
        </w:rPr>
        <w:t xml:space="preserve">2.00</w:t>
      </w:r>
      <w:r>
        <w:rPr>
          <w:rFonts w:ascii="Times New Roman" w:cs="Times New Roman" w:eastAsia="SimSun" w:hAnsi="Times New Roman"/>
        </w:rPr>
        <w:t xml:space="preserve">。残差因而是积分误差而非闭合的破缺。两种分支计数 (36) 在 </w:t>
      </w:r>
      <w:r>
        <w:rPr>
          <w:rFonts w:ascii="Cambria Math" w:eastAsia="SimSun" w:hAnsi="Cambria Math"/>
          <w:i w:val="false"/>
          <w:iCs w:val="false"/>
        </w:rPr>
        <w:t xml:space="preserve">(τ,η)=(2,2),(3,1),(1,3),(2,3)</w:t>
      </w:r>
      <w:r>
        <w:rPr>
          <w:rFonts w:ascii="Times New Roman" w:cs="Times New Roman" w:eastAsia="SimSun" w:hAnsi="Times New Roman"/>
        </w:rPr>
        <w:t xml:space="preserve"> 上的相对差不超过 </w:t>
      </w:r>
      <w:r>
        <w:rPr>
          <w:rFonts w:ascii="Cambria Math" w:eastAsia="SimSun" w:hAnsi="Cambria Math"/>
          <w:i w:val="false"/>
          <w:iCs w:val="false"/>
        </w:rPr>
        <w:t xml:space="preserve">2×10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；(38) 与 (35) 在全部 </w:t>
      </w:r>
      <w:r>
        <w:rPr>
          <w:rFonts w:ascii="Cambria Math" w:eastAsia="SimSun" w:hAnsi="Cambria Math"/>
          <w:i w:val="false"/>
          <w:iCs w:val="false"/>
        </w:rPr>
        <w:t xml:space="preserve">45</w:t>
      </w:r>
      <w:r>
        <w:rPr>
          <w:rFonts w:ascii="Times New Roman" w:cs="Times New Roman" w:eastAsia="SimSun" w:hAnsi="Times New Roman"/>
        </w:rPr>
        <w:t xml:space="preserve"> 个位形模型实现上的相对差不超过 </w:t>
      </w:r>
      <w:r>
        <w:rPr>
          <w:rFonts w:ascii="Cambria Math" w:eastAsia="SimSun" w:hAnsi="Cambria Math"/>
          <w:i w:val="false"/>
          <w:iCs w:val="false"/>
        </w:rPr>
        <w:t xml:space="preserve">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，即经由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的改写是恒等的。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 w:val="false"/>
          <w:iCs w:val="false"/>
        </w:rPr>
        <w:t xml:space="preserve">4000</w:t>
      </w:r>
      <w:r>
        <w:rPr>
          <w:rFonts w:ascii="Times New Roman" w:cs="Times New Roman" w:eastAsia="SimSun" w:hAnsi="Times New Roman"/>
        </w:rPr>
        <w:t xml:space="preserve"> 次保度双边交换下的改变量恰为零，与本节的否定性推论一致。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阈值公式 (35) 与方程组自身的失稳点独立比对：对 (29) 由 </w:t>
      </w:r>
      <w:r>
        <w:rPr>
          <w:rFonts w:ascii="Cambria Math" w:eastAsia="SimSun" w:hAnsi="Cambria Math"/>
          <w:i w:val="false"/>
          <w:iCs w:val="false"/>
        </w:rPr>
        <w:t xml:space="preserve">ε=10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 出发积分，以终态是否宏观为判据对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二分，全过程不使用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。所得阈值随积分窗口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Times New Roman" w:cs="Times New Roman" w:eastAsia="SimSun" w:hAnsi="Times New Roman"/>
        </w:rPr>
        <w:t xml:space="preserve"> 单调趋近预言值——相对偏差在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=200,400,1600,6400</w:t>
      </w:r>
      <w:r>
        <w:rPr>
          <w:rFonts w:ascii="Times New Roman" w:cs="Times New Roman" w:eastAsia="SimSun" w:hAnsi="Times New Roman"/>
        </w:rPr>
        <w:t xml:space="preserve"> 处依次为 </w:t>
      </w:r>
      <w:r>
        <w:rPr>
          <w:rFonts w:ascii="Cambria Math" w:eastAsia="SimSun" w:hAnsi="Cambria Math"/>
          <w:i w:val="false"/>
          <w:iCs w:val="false"/>
        </w:rPr>
        <w:t xml:space="preserve">2.7×10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1.1×10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4.8×10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。偏差来自阈值邻域增长率趋零、有限窗口内尚未展开，而非公式本身。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含时复现。</w:t>
      </w:r>
      <w:r>
        <w:rPr>
          <w:rFonts w:ascii="Times New Roman" w:cs="Times New Roman" w:eastAsia="SimSun" w:hAnsi="Times New Roman"/>
        </w:rPr>
        <w:t xml:space="preserve"> 图 1 给出 </w:t>
      </w:r>
      <w:r>
        <w:rPr>
          <w:rFonts w:ascii="Cambria Math" w:eastAsia="SimSun" w:hAnsi="Cambria Math"/>
          <w:i w:val="false"/>
          <w:iCs w:val="false"/>
        </w:rPr>
        <w:t xml:space="preserve">τ=η=2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=6000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λ=1.6λ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下的完整时间演化。并发型 EBCM 与仿真在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上均无法用肉眼区分，包括峰高与峰位；均场则把峰值抬高约一倍并提前约两个时间单位。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943600" cy="218447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84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1　有向超图 SIR 的含时演化，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τ=η=2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λ=1.6λ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、初始感染比例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。黑线为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次独立 Gillespie 实现的均值，灰带为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置信区间（窄于线宽）；蓝虚线为并发型 EBCM (29)，橙点线为均场闭合 (39)。(a) 易感比例；(b) 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定量校验。</w:t>
      </w:r>
      <w:r>
        <w:rPr>
          <w:rFonts w:ascii="Times New Roman" w:cs="Times New Roman" w:eastAsia="SimSun" w:hAnsi="Times New Roman"/>
        </w:rPr>
        <w:t xml:space="preserve"> 图 2 汇总三项定量比较。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943600" cy="201739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17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2　闭合的定量校验。(a)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≤12</w:t>
      </w:r>
      <w:r>
        <w:rPr>
          <w:rFonts w:ascii="Times New Roman" w:cs="Times New Roman" w:eastAsia="SimSun" w:hAnsi="Times New Roman"/>
          <w:sz w:val="19"/>
          <w:szCs w:val="19"/>
        </w:rPr>
        <w:t xml:space="preserve"> 上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S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(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)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的平均绝对偏差随系统规模的变化；除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Times New Roman" w:cs="Times New Roman" w:eastAsia="SimSun" w:hAnsi="Times New Roman"/>
          <w:sz w:val="19"/>
          <w:szCs w:val="19"/>
        </w:rPr>
        <w:t xml:space="preserve"> 外生成参数、仿真次数与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全部固定，每点为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个独立结构的均值，误差棒为结构间标准误，灰点划线为加权幂律拟合。(b) 终态规模随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次实现，误差棒为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置信区间。(c) 爆发阈值随入出度相关的变化，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=3000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5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个独立双度序列，两个方向的误差棒均为标准误，实线为 (38)。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2(a) 分离出两种误差的不同性质。EBCM 的偏差按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-1.22±0.05</w:t>
      </w:r>
      <w:r>
        <w:rPr>
          <w:rFonts w:ascii="Times New Roman" w:cs="Times New Roman" w:eastAsia="SimSun" w:hAnsi="Times New Roman"/>
        </w:rPr>
        <w:t xml:space="preserve"> 衰减——树状闭合的误差源于位形模型中密度为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的短回路，随规模增大而消失。均场的偏差同样随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下降（</w:t>
      </w:r>
      <w:r>
        <w:rPr>
          <w:rFonts w:ascii="Cambria Math" w:eastAsia="SimSun" w:hAnsi="Cambria Math"/>
          <w:i w:val="false"/>
          <w:iCs w:val="false"/>
        </w:rPr>
        <w:t xml:space="preserve">0.220→0.156</w:t>
      </w:r>
      <w:r>
        <w:rPr>
          <w:rFonts w:ascii="Times New Roman" w:cs="Times New Roman" w:eastAsia="SimSun" w:hAnsi="Times New Roman"/>
        </w:rPr>
        <w:t xml:space="preserve">），但按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外推收敛到非零平台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≈0.147</w:t>
      </w:r>
      <w:r>
        <w:rPr>
          <w:rFonts w:ascii="Times New Roman" w:cs="Times New Roman" w:eastAsia="SimSun" w:hAnsi="Times New Roman"/>
        </w:rPr>
        <w:t xml:space="preserve">。两者因而不是同一类误差：EBCM 的可以靠增大系统消除，均场的不能，因为那是闭合层级的误差。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=4000</w:t>
      </w:r>
      <w:r>
        <w:rPr>
          <w:rFonts w:ascii="Times New Roman" w:cs="Times New Roman" w:eastAsia="SimSun" w:hAnsi="Times New Roman"/>
        </w:rPr>
        <w:t xml:space="preserve"> 时二者相差 </w:t>
      </w:r>
      <w:r>
        <w:rPr>
          <w:rFonts w:ascii="Cambria Math" w:eastAsia="SimSun" w:hAnsi="Cambria Math"/>
          <w:i w:val="false"/>
          <w:iCs w:val="false"/>
        </w:rPr>
        <w:t xml:space="preserve">28</w:t>
      </w:r>
      <w:r>
        <w:rPr>
          <w:rFonts w:ascii="Times New Roman" w:cs="Times New Roman" w:eastAsia="SimSun" w:hAnsi="Times New Roman"/>
        </w:rPr>
        <w:t xml:space="preserve"> 倍。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2(b) 检验 (41) 所预言的形状——均场的误差集中在阈值邻域。均场把阈值压低到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</w:rPr>
        <w:t xml:space="preserve">=0.75λ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，因而在真实的亚临界区已给出宏观爆发：</w:t>
      </w:r>
      <w:r>
        <w:rPr>
          <w:rFonts w:ascii="Cambria Math" w:eastAsia="SimSun" w:hAnsi="Cambria Math"/>
          <w:i w:val="false"/>
          <w:iCs w:val="false"/>
        </w:rPr>
        <w:t xml:space="preserve">λ=0.9λ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5.1</w:t>
      </w:r>
      <w:r>
        <w:rPr>
          <w:rFonts w:ascii="Times New Roman" w:cs="Times New Roman" w:eastAsia="SimSun" w:hAnsi="Times New Roman"/>
        </w:rPr>
        <w:t xml:space="preserve"> 倍、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4.3</w:t>
      </w:r>
      <w:r>
        <w:rPr>
          <w:rFonts w:ascii="Times New Roman" w:cs="Times New Roman" w:eastAsia="SimSun" w:hAnsi="Times New Roman"/>
        </w:rPr>
        <w:t xml:space="preserve"> 倍，深超临界区才收敛到 </w:t>
      </w:r>
      <w:r>
        <w:rPr>
          <w:rFonts w:ascii="Cambria Math" w:eastAsia="SimSun" w:hAnsi="Cambria Math"/>
          <w:i w:val="false"/>
          <w:iCs w:val="false"/>
        </w:rPr>
        <w:t xml:space="preserve">1.2</w:t>
      </w:r>
      <w:r>
        <w:rPr>
          <w:rFonts w:ascii="Times New Roman" w:cs="Times New Roman" w:eastAsia="SimSun" w:hAnsi="Times New Roman"/>
        </w:rPr>
        <w:t xml:space="preserve"> 倍。第 I 节所称"边基闭合相对均场的增益"由此定量化：增益不是均匀的百分数，而集中在最需要理论的区域。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同一张图也暴露出 EBCM 自身的限度，须如实报告。深超临界区（</w:t>
      </w:r>
      <w:r>
        <w:rPr>
          <w:rFonts w:ascii="Cambria Math" w:eastAsia="SimSun" w:hAnsi="Cambria Math"/>
          <w:i w:val="false"/>
          <w:iCs w:val="false"/>
        </w:rPr>
        <w:t xml:space="preserve">λ≥1.6λ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）与深亚临界区的偏差在 </w:t>
      </w:r>
      <w:r>
        <w:rPr>
          <w:rFonts w:ascii="Cambria Math" w:eastAsia="SimSun" w:hAnsi="Cambria Math"/>
          <w:i w:val="false"/>
          <w:iCs w:val="false"/>
        </w:rPr>
        <w:t xml:space="preserve">0.7%</w:t>
      </w:r>
      <w:r>
        <w:rPr>
          <w:rFonts w:ascii="Times New Roman" w:cs="Times New Roman" w:eastAsia="SimSun" w:hAnsi="Times New Roman"/>
        </w:rPr>
        <w:t xml:space="preserve"> 以内，但在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1.1λ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EBCM 系统性高估约 </w:t>
      </w:r>
      <w:r>
        <w:rPr>
          <w:rFonts w:ascii="Cambria Math" w:eastAsia="SimSun" w:hAnsi="Cambria Math"/>
          <w:i w:val="false"/>
          <w:iCs w:val="false"/>
        </w:rPr>
        <w:t xml:space="preserve">18%</w:t>
      </w:r>
      <w:r>
        <w:rPr>
          <w:rFonts w:ascii="Times New Roman" w:cs="Times New Roman" w:eastAsia="SimSun" w:hAnsi="Times New Roman"/>
        </w:rPr>
        <w:t xml:space="preserve">–</w:t>
      </w:r>
      <w:r>
        <w:rPr>
          <w:rFonts w:ascii="Cambria Math" w:eastAsia="SimSun" w:hAnsi="Cambria Math"/>
          <w:i w:val="false"/>
          <w:iCs w:val="false"/>
        </w:rPr>
        <w:t xml:space="preserve">19%</w:t>
      </w:r>
      <w:r>
        <w:rPr>
          <w:rFonts w:ascii="Times New Roman" w:cs="Times New Roman" w:eastAsia="SimSun" w:hAnsi="Times New Roman"/>
        </w:rPr>
        <w:t xml:space="preserve">（分别为 </w:t>
      </w:r>
      <w:r>
        <w:rPr>
          <w:rFonts w:ascii="Cambria Math" w:eastAsia="SimSun" w:hAnsi="Cambria Math"/>
          <w:i w:val="false"/>
          <w:iCs w:val="false"/>
        </w:rPr>
        <w:t xml:space="preserve">6.9σ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8.4σ</w:t>
      </w:r>
      <w:r>
        <w:rPr>
          <w:rFonts w:ascii="Times New Roman" w:cs="Times New Roman" w:eastAsia="SimSun" w:hAnsi="Times New Roman"/>
        </w:rPr>
        <w:t xml:space="preserve">）。这与 (24)–(29) 是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理论一致：阈值邻域关联长度发散，有限系统的偏离在此最大，且方向为理论高估。生产运行须在阈值邻域做有限尺寸标度外推，不能直接引用有限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的 EBCM 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2(c) 给出阈值对结构的依赖。保持两条边际度序列不变、只重新配置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∈[-0.89,+0.89]</w:t>
      </w:r>
      <w:r>
        <w:rPr>
          <w:rFonts w:ascii="Times New Roman" w:cs="Times New Roman" w:eastAsia="SimSun" w:hAnsi="Times New Roman"/>
        </w:rPr>
        <w:t xml:space="preserve"> 上从 </w:t>
      </w:r>
      <w:r>
        <w:rPr>
          <w:rFonts w:ascii="Cambria Math" w:eastAsia="SimSun" w:hAnsi="Cambria Math"/>
          <w:i w:val="false"/>
          <w:iCs w:val="false"/>
        </w:rPr>
        <w:t xml:space="preserve">0.803</w:t>
      </w:r>
      <w:r>
        <w:rPr>
          <w:rFonts w:ascii="Times New Roman" w:cs="Times New Roman" w:eastAsia="SimSun" w:hAnsi="Times New Roman"/>
        </w:rPr>
        <w:t xml:space="preserve"> 降到 </w:t>
      </w:r>
      <w:r>
        <w:rPr>
          <w:rFonts w:ascii="Cambria Math" w:eastAsia="SimSun" w:hAnsi="Cambria Math"/>
          <w:i w:val="false"/>
          <w:iCs w:val="false"/>
        </w:rPr>
        <w:t xml:space="preserve">0.209</w:t>
      </w:r>
      <w:r>
        <w:rPr>
          <w:rFonts w:ascii="Times New Roman" w:cs="Times New Roman" w:eastAsia="SimSun" w:hAnsi="Times New Roman"/>
        </w:rPr>
        <w:t xml:space="preserve">，变动近四倍，与 (38) 逐点吻合。需要说明，图 2(c) 的纵轴由 (35) 经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算得，因而它检验的是"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能把阈值推到多远"以及改写 (38) 的恒等性，而非对阈值的独立测量；对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的仿真检验属于第 VI 节。同时须记住 II.D 的宇称结论——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移动阈值，却不产生方向对称性破缺，二者并不矛盾。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S. H. Strogatz, D. J. Watts,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026118 (2001). doi:10.1103/PhysRevE.64.026118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66</w:t>
      </w:r>
      <w:r>
        <w:rPr>
          <w:rFonts w:ascii="Times New Roman" w:cs="Times New Roman" w:eastAsia="SimSun" w:hAnsi="Times New Roman"/>
        </w:rPr>
        <w:t xml:space="preserve">, 016128 (2002). doi:10.1103/PhysRevE.66.016128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Grassberger, </w:t>
      </w:r>
      <w:r>
        <w:rPr>
          <w:rFonts w:ascii="Times New Roman" w:cs="Times New Roman" w:eastAsia="SimSun" w:hAnsi="Times New Roman"/>
          <w:i/>
          <w:iCs/>
        </w:rPr>
        <w:t xml:space="preserve">Mathematical Biosciences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63</w:t>
      </w:r>
      <w:r>
        <w:rPr>
          <w:rFonts w:ascii="Times New Roman" w:cs="Times New Roman" w:eastAsia="SimSun" w:hAnsi="Times New Roman"/>
        </w:rPr>
        <w:t xml:space="preserve">, 157–172 (1983). doi:10.1016/0025-5564(82)90036-0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A. Vespignani,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86</w:t>
      </w:r>
      <w:r>
        <w:rPr>
          <w:rFonts w:ascii="Times New Roman" w:cs="Times New Roman" w:eastAsia="SimSun" w:hAnsi="Times New Roman"/>
        </w:rPr>
        <w:t xml:space="preserve">, 3200–3203 (2001). doi:10.1103/PhysRevLett.86.3200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Kenah, J. M. Robins,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76</w:t>
      </w:r>
      <w:r>
        <w:rPr>
          <w:rFonts w:ascii="Times New Roman" w:cs="Times New Roman" w:eastAsia="SimSun" w:hAnsi="Times New Roman"/>
        </w:rPr>
        <w:t xml:space="preserve">, 036113 (2007). doi:10.1103/PhysRevE.76.036113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Volz, </w:t>
      </w:r>
      <w:r>
        <w:rPr>
          <w:rFonts w:ascii="Times New Roman" w:cs="Times New Roman" w:eastAsia="SimSun" w:hAnsi="Times New Roman"/>
          <w:i/>
          <w:iCs/>
        </w:rPr>
        <w:t xml:space="preserve">Journal of Mathematical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56</w:t>
      </w:r>
      <w:r>
        <w:rPr>
          <w:rFonts w:ascii="Times New Roman" w:cs="Times New Roman" w:eastAsia="SimSun" w:hAnsi="Times New Roman"/>
        </w:rPr>
        <w:t xml:space="preserve">, 293–310 (2008). doi:10.1007/s00285-007-0116-4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C. Miller, A. C. Slim, E. M. Volz, </w:t>
      </w:r>
      <w:r>
        <w:rPr>
          <w:rFonts w:ascii="Times New Roman" w:cs="Times New Roman" w:eastAsia="SimSun" w:hAnsi="Times New Roman"/>
          <w:i/>
          <w:iCs/>
        </w:rPr>
        <w:t xml:space="preserve">Journal of the Royal Society Interface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890–906 (2012). doi:10.1098/rsif.2011.0403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Van Mieghem, R. van de Bovenkamp,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110</w:t>
      </w:r>
      <w:r>
        <w:rPr>
          <w:rFonts w:ascii="Times New Roman" w:cs="Times New Roman" w:eastAsia="SimSun" w:hAnsi="Times New Roman"/>
        </w:rPr>
        <w:t xml:space="preserve">, 108701 (2013). doi:10.1103/PhysRevLett.110.108701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C. Castellano, P. Van Mieghem, A. Vespignani, </w:t>
      </w:r>
      <w:r>
        <w:rPr>
          <w:rFonts w:ascii="Times New Roman" w:cs="Times New Roman" w:eastAsia="SimSun" w:hAnsi="Times New Roman"/>
          <w:i/>
          <w:iCs/>
        </w:rPr>
        <w:t xml:space="preserve">Reviews of Modern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</w:t>
      </w:r>
      <w:r>
        <w:rPr>
          <w:rFonts w:ascii="Times New Roman" w:cs="Times New Roman" w:eastAsia="SimSun" w:hAnsi="Times New Roman"/>
        </w:rPr>
        <w:t xml:space="preserve">, 925–979 (2015). doi:10.1103/RevModPhys.87.925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J. F. F. Mendes, A. N. Samukhin,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025101 (2001). doi:10.1103/PhysRevE.64.025101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Boguñá, M. Á. Serrano,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72</w:t>
      </w:r>
      <w:r>
        <w:rPr>
          <w:rFonts w:ascii="Times New Roman" w:cs="Times New Roman" w:eastAsia="SimSun" w:hAnsi="Times New Roman"/>
        </w:rPr>
        <w:t xml:space="preserve">, 016106 (2005). doi:10.1103/PhysRevE.72.016106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L. A. Meyers, M. E. J. Newman, B. Pourbohloul, </w:t>
      </w:r>
      <w:r>
        <w:rPr>
          <w:rFonts w:ascii="Times New Roman" w:cs="Times New Roman" w:eastAsia="SimSun" w:hAnsi="Times New Roman"/>
          <w:i/>
          <w:iCs/>
        </w:rPr>
        <w:t xml:space="preserve">Journal of Theoretical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240</w:t>
      </w:r>
      <w:r>
        <w:rPr>
          <w:rFonts w:ascii="Times New Roman" w:cs="Times New Roman" w:eastAsia="SimSun" w:hAnsi="Times New Roman"/>
        </w:rPr>
        <w:t xml:space="preserve">, 400–418 (2006). doi:10.1016/j.jtbi.2005.10.004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X. J. Xu, J. Y. Li, X. Fu, L. J. Zhang, </w:t>
      </w:r>
      <w:r>
        <w:rPr>
          <w:rFonts w:ascii="Times New Roman" w:cs="Times New Roman" w:eastAsia="SimSun" w:hAnsi="Times New Roman"/>
          <w:i/>
          <w:iCs/>
        </w:rPr>
        <w:t xml:space="preserve">Scientific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 (2018). doi:10.1038/s41598-018-22508-1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89</w:t>
      </w:r>
      <w:r>
        <w:rPr>
          <w:rFonts w:ascii="Times New Roman" w:cs="Times New Roman" w:eastAsia="SimSun" w:hAnsi="Times New Roman"/>
        </w:rPr>
        <w:t xml:space="preserve">, 208701 (2002). doi:10.1103/PhysRevLett.89.208701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G. Cencetti, I. Iacopini, V. Latora, M. Lucas, A. Patania, J. G. Young, G. Petri, </w:t>
      </w:r>
      <w:r>
        <w:rPr>
          <w:rFonts w:ascii="Times New Roman" w:cs="Times New Roman" w:eastAsia="SimSun" w:hAnsi="Times New Roman"/>
          <w:i/>
          <w:iCs/>
        </w:rPr>
        <w:t xml:space="preserve">Physics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874</w:t>
      </w:r>
      <w:r>
        <w:rPr>
          <w:rFonts w:ascii="Times New Roman" w:cs="Times New Roman" w:eastAsia="SimSun" w:hAnsi="Times New Roman"/>
        </w:rPr>
        <w:t xml:space="preserve">, 1–92 (2020). doi:10.1016/j.physrep.2020.05.004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E. Amico, A. Barrat, G. Bianconi, G. Ferraz de Arruda, B. Franceschiello, I. Iacopini, S. Kéfi et al., </w:t>
      </w:r>
      <w:r>
        <w:rPr>
          <w:rFonts w:ascii="Times New Roman" w:cs="Times New Roman" w:eastAsia="SimSun" w:hAnsi="Times New Roman"/>
          <w:i/>
          <w:iCs/>
        </w:rPr>
        <w:t xml:space="preserve">Nature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17</w:t>
      </w:r>
      <w:r>
        <w:rPr>
          <w:rFonts w:ascii="Times New Roman" w:cs="Times New Roman" w:eastAsia="SimSun" w:hAnsi="Times New Roman"/>
        </w:rPr>
        <w:t xml:space="preserve">, 1093–1098 (2021). doi:10.1038/s41567-021-01371-4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A. R. Benson, R. Abebe, M. T. Schaub, A. Jadbabaie, J. Kleinberg,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115</w:t>
      </w:r>
      <w:r>
        <w:rPr>
          <w:rFonts w:ascii="Times New Roman" w:cs="Times New Roman" w:eastAsia="SimSun" w:hAnsi="Times New Roman"/>
        </w:rPr>
        <w:t xml:space="preserve">, E11221–E11230 (2018). doi:10.1073/pnas.1800683115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I. Iacopini, G. Petri, A. Barrat, V. Latora,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</w:t>
      </w:r>
      <w:r>
        <w:rPr>
          <w:rFonts w:ascii="Times New Roman" w:cs="Times New Roman" w:eastAsia="SimSun" w:hAnsi="Times New Roman"/>
        </w:rPr>
        <w:t xml:space="preserve">, 2485 (2019). doi:10.1038/s41467-019-10431-6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G. Petri, Y. Moreno, </w:t>
      </w:r>
      <w:r>
        <w:rPr>
          <w:rFonts w:ascii="Times New Roman" w:cs="Times New Roman" w:eastAsia="SimSun" w:hAnsi="Times New Roman"/>
          <w:i/>
          <w:iCs/>
        </w:rPr>
        <w:t xml:space="preserve">Physical Review Research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</w:t>
      </w:r>
      <w:r>
        <w:rPr>
          <w:rFonts w:ascii="Times New Roman" w:cs="Times New Roman" w:eastAsia="SimSun" w:hAnsi="Times New Roman"/>
        </w:rPr>
        <w:t xml:space="preserve">, 023032 (2020). doi:10.1103/PhysRevResearch.2.023032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H. Sun, A. Allard, L. Hébert-Dufresne,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127</w:t>
      </w:r>
      <w:r>
        <w:rPr>
          <w:rFonts w:ascii="Times New Roman" w:cs="Times New Roman" w:eastAsia="SimSun" w:hAnsi="Times New Roman"/>
        </w:rPr>
        <w:t xml:space="preserve">, 158301 (2021). doi:10.1103/PhysRevLett.127.158301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J. Watts,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99</w:t>
      </w:r>
      <w:r>
        <w:rPr>
          <w:rFonts w:ascii="Times New Roman" w:cs="Times New Roman" w:eastAsia="SimSun" w:hAnsi="Times New Roman"/>
        </w:rPr>
        <w:t xml:space="preserve">, 5766–5771 (2002). doi:10.1073/pnas.082090499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Centola, M. Macy, </w:t>
      </w:r>
      <w:r>
        <w:rPr>
          <w:rFonts w:ascii="Times New Roman" w:cs="Times New Roman" w:eastAsia="SimSun" w:hAnsi="Times New Roman"/>
          <w:i/>
          <w:iCs/>
        </w:rPr>
        <w:t xml:space="preserve">American Journal of Sociology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113</w:t>
      </w:r>
      <w:r>
        <w:rPr>
          <w:rFonts w:ascii="Times New Roman" w:cs="Times New Roman" w:eastAsia="SimSun" w:hAnsi="Times New Roman"/>
        </w:rPr>
        <w:t xml:space="preserve">, 702–734 (2007). doi:10.1086/521848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N. W. Landry, J. G. Restrepo, </w:t>
      </w:r>
      <w:r>
        <w:rPr>
          <w:rFonts w:ascii="Times New Roman" w:cs="Times New Roman" w:eastAsia="SimSun" w:hAnsi="Times New Roman"/>
          <w:i/>
          <w:iCs/>
        </w:rPr>
        <w:t xml:space="preserve">Chaos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30</w:t>
      </w:r>
      <w:r>
        <w:rPr>
          <w:rFonts w:ascii="Times New Roman" w:cs="Times New Roman" w:eastAsia="SimSun" w:hAnsi="Times New Roman"/>
        </w:rPr>
        <w:t xml:space="preserve">, 103117 (2020). doi:10.1063/5.0020034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Mancastroppa, I. Iacopini, G. Petri, A. Barrat,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14</w:t>
      </w:r>
      <w:r>
        <w:rPr>
          <w:rFonts w:ascii="Times New Roman" w:cs="Times New Roman" w:eastAsia="SimSun" w:hAnsi="Times New Roman"/>
        </w:rPr>
        <w:t xml:space="preserve">, 6223 (2023). doi:10.1038/s41467-023-41887-2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H. Kim, K. I. Goh,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132</w:t>
      </w:r>
      <w:r>
        <w:rPr>
          <w:rFonts w:ascii="Times New Roman" w:cs="Times New Roman" w:eastAsia="SimSun" w:hAnsi="Times New Roman"/>
        </w:rPr>
        <w:t xml:space="preserve">, 087401 (2024). doi:10.1103/PhysRevLett.132.087401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I. Iacopini, V. Latora, A. Barrat, G. Petri, A. Allard, L. Hébert-Dufresne,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25 (2022). doi:10.1038/s42005-021-00788-w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S. Lamata-Otín, M. Frasca, V. Latora, J. Gómez-Gardeñes,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16</w:t>
      </w:r>
      <w:r>
        <w:rPr>
          <w:rFonts w:ascii="Times New Roman" w:cs="Times New Roman" w:eastAsia="SimSun" w:hAnsi="Times New Roman"/>
        </w:rPr>
        <w:t xml:space="preserve"> (2025). doi:10.1038/s41467-024-55506-1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Lamata-Otín, F. Malizia, V. Latora, M. Frasca, J. Gómez-Gardeñes,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111</w:t>
      </w:r>
      <w:r>
        <w:rPr>
          <w:rFonts w:ascii="Times New Roman" w:cs="Times New Roman" w:eastAsia="SimSun" w:hAnsi="Times New Roman"/>
        </w:rPr>
        <w:t xml:space="preserve">, 034302 (2025). doi:10.1103/PhysRevE.111.034302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A. Guzmán, I. Iacopini, I. Z. Kiss,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 (2025). doi:10.1103/z3d5-94zb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Bianconi, S. N. Dorogovtsev,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109</w:t>
      </w:r>
      <w:r>
        <w:rPr>
          <w:rFonts w:ascii="Times New Roman" w:cs="Times New Roman" w:eastAsia="SimSun" w:hAnsi="Times New Roman"/>
        </w:rPr>
        <w:t xml:space="preserve">, 014306 (2024). doi:10.1103/PhysRevE.109.014306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A. Aleta, Y. Moreno, </w:t>
      </w:r>
      <w:r>
        <w:rPr>
          <w:rFonts w:ascii="Times New Roman" w:cs="Times New Roman" w:eastAsia="SimSun" w:hAnsi="Times New Roman"/>
          <w:i/>
          <w:iCs/>
        </w:rPr>
        <w:t xml:space="preserve">Nature Reviews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</w:t>
      </w:r>
      <w:r>
        <w:rPr>
          <w:rFonts w:ascii="Times New Roman" w:cs="Times New Roman" w:eastAsia="SimSun" w:hAnsi="Times New Roman"/>
        </w:rPr>
        <w:t xml:space="preserve">, 468–482 (2024). doi:10.1038/s42254-024-00733-0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Gallo, G. Longo, S. Pallottino, S. Nguyen, </w:t>
      </w:r>
      <w:r>
        <w:rPr>
          <w:rFonts w:ascii="Times New Roman" w:cs="Times New Roman" w:eastAsia="SimSun" w:hAnsi="Times New Roman"/>
          <w:i/>
          <w:iCs/>
        </w:rPr>
        <w:t xml:space="preserve">Discrete Applied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42</w:t>
      </w:r>
      <w:r>
        <w:rPr>
          <w:rFonts w:ascii="Times New Roman" w:cs="Times New Roman" w:eastAsia="SimSun" w:hAnsi="Times New Roman"/>
        </w:rPr>
        <w:t xml:space="preserve">, 177–201 (1993). doi:10.1016/0166-218X(93)90045-P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Klamt, U. U. Haus, F. Theis, </w:t>
      </w:r>
      <w:r>
        <w:rPr>
          <w:rFonts w:ascii="Times New Roman" w:cs="Times New Roman" w:eastAsia="SimSun" w:hAnsi="Times New Roman"/>
          <w:i/>
          <w:iCs/>
        </w:rPr>
        <w:t xml:space="preserve">PLoS Computational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e1000385 (2009). doi:10.1371/journal.pcbi.1000385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Q. F. Lotito, A. Vendramini, A. Montresor, F. Battiston,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 (2026). doi:10.1038/s42005-025-02472-9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Kim, M. Choe, J. Yoo, K. Shin,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 (2023). doi:10.1007/s10618-023-00955-3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Lee, M. Choe, K. Shin, </w:t>
      </w:r>
      <w:r>
        <w:rPr>
          <w:rFonts w:ascii="Times New Roman" w:cs="Times New Roman" w:eastAsia="SimSun" w:hAnsi="Times New Roman"/>
          <w:i/>
          <w:iCs/>
        </w:rPr>
        <w:t xml:space="preserve">Proceedings of the Web Conference 2021</w:t>
      </w:r>
      <w:r>
        <w:rPr>
          <w:rFonts w:ascii="Times New Roman" w:cs="Times New Roman" w:eastAsia="SimSun" w:hAnsi="Times New Roman"/>
        </w:rPr>
        <w:t xml:space="preserve"> (2021). doi:10.1145/3442381.3450010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S. Chodrow, </w:t>
      </w:r>
      <w:r>
        <w:rPr>
          <w:rFonts w:ascii="Times New Roman" w:cs="Times New Roman" w:eastAsia="SimSun" w:hAnsi="Times New Roman"/>
          <w:i/>
          <w:iCs/>
        </w:rPr>
        <w:t xml:space="preserve">Journal of Complex Networks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, cnaa018 (2020). doi:10.1093/comnet/cnaa018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K. Nakajima, K. Shudo, N. Masuda, </w:t>
      </w:r>
      <w:r>
        <w:rPr>
          <w:rFonts w:ascii="Times New Roman" w:cs="Times New Roman" w:eastAsia="SimSun" w:hAnsi="Times New Roman"/>
          <w:i/>
          <w:iCs/>
        </w:rPr>
        <w:t xml:space="preserve">IEEE Transactions on Network Science and Engineering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1139–1153 (2022). doi:10.1109/TNSE.2021.3133380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Y. J. Kraakman, C. Stegehuis, </w:t>
      </w:r>
      <w:r>
        <w:rPr>
          <w:rFonts w:ascii="Times New Roman" w:cs="Times New Roman" w:eastAsia="SimSun" w:hAnsi="Times New Roman"/>
          <w:i/>
          <w:iCs/>
        </w:rPr>
        <w:t xml:space="preserve">Discrete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349</w:t>
      </w:r>
      <w:r>
        <w:rPr>
          <w:rFonts w:ascii="Times New Roman" w:cs="Times New Roman" w:eastAsia="SimSun" w:hAnsi="Times New Roman"/>
        </w:rPr>
        <w:t xml:space="preserve">, 114961 (2026). doi:10.1016/j.disc.2025.114961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Abuissa, M. Riondato, E. Upfal,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40</w:t>
      </w:r>
      <w:r>
        <w:rPr>
          <w:rFonts w:ascii="Times New Roman" w:cs="Times New Roman" w:eastAsia="SimSun" w:hAnsi="Times New Roman"/>
        </w:rPr>
        <w:t xml:space="preserve"> (2026). doi:10.1007/s10618-026-01209-8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Li, X. Wu, J. Lü, L. Lei,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</w:t>
      </w:r>
      <w:r>
        <w:rPr>
          <w:rFonts w:ascii="Times New Roman" w:cs="Times New Roman" w:eastAsia="SimSun" w:hAnsi="Times New Roman"/>
        </w:rPr>
        <w:t xml:space="preserve"> (2024). doi:10.1038/s42005-024-01614-9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The Journal of Physical Chemistry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81</w:t>
      </w:r>
      <w:r>
        <w:rPr>
          <w:rFonts w:ascii="Times New Roman" w:cs="Times New Roman" w:eastAsia="SimSun" w:hAnsi="Times New Roman"/>
        </w:rPr>
        <w:t xml:space="preserve">, 2340–2361 (1977). doi:10.1021/j100540a008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96</w:t>
      </w:r>
      <w:r>
        <w:rPr>
          <w:rFonts w:ascii="Times New Roman" w:cs="Times New Roman" w:eastAsia="SimSun" w:hAnsi="Times New Roman"/>
        </w:rPr>
        <w:t xml:space="preserve">, 040601 (2006). doi:10.1103/PhysRevLett.96.040601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J. Baxter, 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82</w:t>
      </w:r>
      <w:r>
        <w:rPr>
          <w:rFonts w:ascii="Times New Roman" w:cs="Times New Roman" w:eastAsia="SimSun" w:hAnsi="Times New Roman"/>
        </w:rPr>
        <w:t xml:space="preserve">, 011103 (2010). doi:10.1103/PhysRevE.82.011103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H. Sun,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104</w:t>
      </w:r>
      <w:r>
        <w:rPr>
          <w:rFonts w:ascii="Times New Roman" w:cs="Times New Roman" w:eastAsia="SimSun" w:hAnsi="Times New Roman"/>
        </w:rPr>
        <w:t xml:space="preserve">, 034306 (2021). doi:10.1103/PhysRevE.104.034306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071ee157192725d4aaedbf7b71e0ff621aac5b7.png"/><Relationship Id="rId8" Type="http://schemas.openxmlformats.org/officeDocument/2006/relationships/image" Target="media/a92691163cff175611d7d047bc0c594c159dc7d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2026-08-09T13:09:16.927Z</dcterms:created>
  <dcterms:modified xsi:type="dcterms:W3CDTF">2026-08-09T13:09:16.927Z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