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3.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3.1.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[6, 7]。移到有向超图上有两重并发需要处理：一个头节点同时暴露于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(3.1)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2.2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(3.2)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的激活时长，也就是其各尾成员感染期之并的测度。并的测度不等于各成员贡献之和，因而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2.4 中使命题 2.2 假设 (ii) 失效的是同一件事——超边级激活：一条超边只有一个激活时钟，它由全体尾成员共同驱动，又被全体头成员共享。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(3.4)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尚有一处度偏置。沿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的入超边，因而不出现无向 EBCM 中的余度相减——偏置变量与计数变量是两个不同的量。据此定义尾侧生成函数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(3.5)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(3.4)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2.1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3.2.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(3.6)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(3.4) 与 (3.5)，一个尾成员到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(3.8)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(3.10)。向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把概率移出"未传递"类。等价地，添一个"已传递"的吸收态即得一条标准的连续时间 Markov 链，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是其未被吸收部分的子概率，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</w:rPr>
        <w:t xml:space="preserve">=Φ≤1</w:t>
      </w:r>
      <w:r>
        <w:rPr>
          <w:rFonts w:ascii="Times New Roman" w:cs="Times New Roman" w:eastAsia="SimSun" w:hAnsi="Times New Roman"/>
        </w:rPr>
        <w:t xml:space="preserve">。这是以速率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消灭（killing）的 Markov 链，其半群次随机，而 (3.2) 是它的 Feynman–Kac 表示。据此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(3.9)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(3.9)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(3.10)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(3.4)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(3.4) 与 (3.9)–(3.10)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此时只有三个变量，(3.9)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[6]——依次为伙伴处于易感、已感染但尚未传递、已康复且未曾传递的概率——唯一的实质替换是把余度生成函数换成 (3.5)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。记号上，本文的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对应该文的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，(3.9)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(3.12)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(3.13)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(3.10)。手写的这六个方程与按 (3.9)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(3.14)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成立。(3.14) 不是额外假设，而是 (3.9)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(3.9)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时，(3.4) 与 (3.9)–(3.10)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3.5 逐项校验；爆发阈值 (3.17)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(3.24)。但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时终态没有闭式，原因是结构性的而非技术性的：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取决于各尾成员感染期之并的长度；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(3.3)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(3.9) 中只有消灭项的指示函数依赖于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时单个感染尾成员不足以激活超边，(3.9) 在无病定态附近的线性化没有增长模式，这与 2.2 所述 bootstrap 图像一致，须按第 4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3.3.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。一阶量是恰有一个尾成员曾被感染的两个态，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；判据是曾被感染的成员数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的态为二阶——注意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τ-2,1,1</w:t>
      </w:r>
      <w:r>
        <w:rPr>
          <w:rFonts w:ascii="Times New Roman" w:cs="Times New Roman" w:eastAsia="SimSun" w:hAnsi="Times New Roman"/>
        </w:rPr>
        <w:t xml:space="preserve"> 虽然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也在其中。由两个种子规模积分读出各态随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的幂次，测得阶数逐态等于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，见 </w:t>
      </w:r>
      <w:r>
        <w:rPr>
          <w:rFonts w:ascii="Consolas" w:eastAsia="SimSun" w:hAnsi="Consolas"/>
        </w:rPr>
        <w:t xml:space="preserve">tools/check_order_counting.py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的一阶部分因而只有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。由 (3.8)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(3.9)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(3.16)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(3.17)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[1]。由握手关系 (2.3)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(3.17)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(3.17)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[1, 2, 5]。[5]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，[1]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(3.17)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(2.3)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并不回到无向网络的结果：无向情形的余度相减源于"来路那条边不可再用"，而有向情形下来路超边根本不在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的入超边之列。(3.17)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(2.3)，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(3.19)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(3.20)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[1]；(3.20)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的系数。这一方向并不普适于一切传播机制：有向网络的阈值型级联中，正的入出度相关反而提高系统稳健性 [8]。二者并不冲突——阈值模型按活跃邻居的比例判定激活，高入度抬高激活门槛；SIR 中高入度只增加暴露。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同时偏大的节点因而在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6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(3.17)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）。进一步，(3.4) 与 (3.5) 也只读取双度序列，故整个闭合而不止阈值都看不见重叠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2.3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6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两处测量），在如此窄的区间上仿真的变化不可分辨，因而检验这一预言必须先有第 5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6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3.4.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(3.21)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(3.22)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(3.17)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(3.23)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时发散：均场的误差在阈值邻域最大，而这正是最需要理论的区域。这与成对网络上 EBCM 相对均场的增益同源 [6, 7]，本文把它推广到有向超图并给出闭式。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(3.21) 是我们为本模型构造的均场对照，而非 [4] 中模型的复述——后者是社会传播而非 SIR，其方向性由单一标量强度参数调节。此处比较的是闭合层级，不是两项工作的模型。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3.5.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2.2 所定义连续时间 Markov 过程的精确 Gillespie 抽样 [3]，取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(3.14)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(3.18)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；(3.20) 与 (3.17)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(3.17) 与方程组自身的失稳点独立比对：对 (3.9)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07348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073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(3.9)，橙点线为均场闭合 (3.21)。(a)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189434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894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置信区间；两条竖线分别标出均场阈值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perscript"/>
        </w:rPr>
        <w:t xml:space="preserve">MF</w:t>
      </w:r>
      <w:r>
        <w:rPr>
          <w:rFonts w:ascii="Times New Roman" w:cs="Times New Roman" w:eastAsia="SimSun" w:hAnsi="Times New Roman"/>
          <w:sz w:val="19"/>
          <w:szCs w:val="19"/>
        </w:rPr>
        <w:t xml:space="preserve"> 与真实阈值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(3.20)。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(3.23)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1 节所称"边基闭合相对均场的增益"由此定量化：它不是一个均匀的百分数，而集中在阈值邻域。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）。偏差在亚临界区与阈值邻域一律为正，并在阈值邻域出现尖峰，深超临界区则收敛到零。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(3.4)–(3.9)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消失的平台形成对照。因此在阈值邻域引用 EBCM 值时须先做有限尺寸外推。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(3.20) 逐点吻合。图 2(c) 的纵轴由 (3.17)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(3.20)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6 节。这与 2.4 的宇称结论不矛盾：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(3.24)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(3.24)。均场阈值 (3.22)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(3.17)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另有四项核查针对数值实现而非理论：位形模型的修复步在全部五种配置下未丢弃任何超边，实现的双度序列与请求值逐点相同；RK4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and L. Hébert-Dufresne, </w:t>
      </w:r>
      <w:r>
        <w:rPr>
          <w:rFonts w:ascii="Times New Roman" w:cs="Times New Roman" w:eastAsia="SimSun" w:hAnsi="Times New Roman"/>
          <w:i/>
          <w:iCs/>
        </w:rPr>
        <w:t xml:space="preserve">The Role of Directionality, Heterogeneity, and Correlations in Epidemic Risk and Spread</w:t>
      </w:r>
      <w:r>
        <w:rPr>
          <w:rFonts w:ascii="Times New Roman" w:cs="Times New Roman" w:eastAsia="SimSun" w:hAnsi="Times New Roman"/>
        </w:rPr>
        <w:t xml:space="preserve">, SIAM Review, 65 (2023), pp. 471–492, https://doi.org/10.1137/20M1383811.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 and M. Á. Serrano, </w:t>
      </w:r>
      <w:r>
        <w:rPr>
          <w:rFonts w:ascii="Times New Roman" w:cs="Times New Roman" w:eastAsia="SimSun" w:hAnsi="Times New Roman"/>
          <w:i/>
          <w:iCs/>
        </w:rPr>
        <w:t xml:space="preserve">Generalized percolation in random directed networks</w:t>
      </w:r>
      <w:r>
        <w:rPr>
          <w:rFonts w:ascii="Times New Roman" w:cs="Times New Roman" w:eastAsia="SimSun" w:hAnsi="Times New Roman"/>
        </w:rPr>
        <w:t xml:space="preserve">, Physical Review E, 72 (2005), p. 016106, https://doi.org/10.1103/PhysRevE.72.016106.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Exact stochastic simulation of coupled chemical reactions</w:t>
      </w:r>
      <w:r>
        <w:rPr>
          <w:rFonts w:ascii="Times New Roman" w:cs="Times New Roman" w:eastAsia="SimSun" w:hAnsi="Times New Roman"/>
        </w:rPr>
        <w:t xml:space="preserve">, The Journal of Physical Chemistry, 81 (1977), pp. 2340–2361, https://doi.org/10.1021/j100540a008.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and L. Lei, </w:t>
      </w:r>
      <w:r>
        <w:rPr>
          <w:rFonts w:ascii="Times New Roman" w:cs="Times New Roman" w:eastAsia="SimSun" w:hAnsi="Times New Roman"/>
          <w:i/>
          <w:iCs/>
        </w:rPr>
        <w:t xml:space="preserve">Enhancing predictive accuracy in social contagion dynamics via directed hypergraph structures</w:t>
      </w:r>
      <w:r>
        <w:rPr>
          <w:rFonts w:ascii="Times New Roman" w:cs="Times New Roman" w:eastAsia="SimSun" w:hAnsi="Times New Roman"/>
        </w:rPr>
        <w:t xml:space="preserve">, Communications Physics, 7 (2024), https://doi.org/10.1038/s42005-024-01614-9.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and B. Pourbohloul, </w:t>
      </w:r>
      <w:r>
        <w:rPr>
          <w:rFonts w:ascii="Times New Roman" w:cs="Times New Roman" w:eastAsia="SimSun" w:hAnsi="Times New Roman"/>
          <w:i/>
          <w:iCs/>
        </w:rPr>
        <w:t xml:space="preserve">Predicting epidemics on directed contact networks</w:t>
      </w:r>
      <w:r>
        <w:rPr>
          <w:rFonts w:ascii="Times New Roman" w:cs="Times New Roman" w:eastAsia="SimSun" w:hAnsi="Times New Roman"/>
        </w:rPr>
        <w:t xml:space="preserve">, Journal of Theoretical Biology, 240 (2006), pp. 400–418, https://doi.org/10.1016/j.jtbi.2005.10.004.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and E. M. Volz, </w:t>
      </w:r>
      <w:r>
        <w:rPr>
          <w:rFonts w:ascii="Times New Roman" w:cs="Times New Roman" w:eastAsia="SimSun" w:hAnsi="Times New Roman"/>
          <w:i/>
          <w:iCs/>
        </w:rPr>
        <w:t xml:space="preserve">Edge-based compartmental modelling for infectious disease spread</w:t>
      </w:r>
      <w:r>
        <w:rPr>
          <w:rFonts w:ascii="Times New Roman" w:cs="Times New Roman" w:eastAsia="SimSun" w:hAnsi="Times New Roman"/>
        </w:rPr>
        <w:t xml:space="preserve">, Journal of the Royal Society Interface, 9 (2012), pp. 890–906, https://doi.org/10.1098/rsif.2011.0403.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SIR dynamics in random networks with heterogeneous connectivity</w:t>
      </w:r>
      <w:r>
        <w:rPr>
          <w:rFonts w:ascii="Times New Roman" w:cs="Times New Roman" w:eastAsia="SimSun" w:hAnsi="Times New Roman"/>
        </w:rPr>
        <w:t xml:space="preserve">, Journal of Mathematical Biology, 56 (2008), pp. 293–310, https://doi.org/10.1007/s00285-007-0116-4.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and L. J. Zhang, </w:t>
      </w:r>
      <w:r>
        <w:rPr>
          <w:rFonts w:ascii="Times New Roman" w:cs="Times New Roman" w:eastAsia="SimSun" w:hAnsi="Times New Roman"/>
          <w:i/>
          <w:iCs/>
        </w:rPr>
        <w:t xml:space="preserve">Impact of directionality and correlation on contagion</w:t>
      </w:r>
      <w:r>
        <w:rPr>
          <w:rFonts w:ascii="Times New Roman" w:cs="Times New Roman" w:eastAsia="SimSun" w:hAnsi="Times New Roman"/>
        </w:rPr>
        <w:t xml:space="preserve">, Scientific Reports, 8 (2018), https://doi.org/10.1038/s41598-018-22508-1.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6bb42279ea8f5815a4ad14f8538013d6d58bd9e.png"/><Relationship Id="rId8" Type="http://schemas.openxmlformats.org/officeDocument/2006/relationships/image" Target="media/cfc719ab3e4f1941f3337b863a72e59b3804976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2026-08-10T13:59:05.596Z</dcterms:created>
  <dcterms:modified xsi:type="dcterms:W3CDTF">2026-08-10T13:59:05.599Z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