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20201E"/>
          <w:sz w:val="34"/>
          <w:szCs w:val="34"/>
        </w:rPr>
        <w:t xml:space="preserve">由亚临界终态外推测定 λc </w:t>
      </w:r>
      <w:r>
        <w:rPr>
          <w:rFonts w:ascii="Calibri" w:cs="Calibri" w:eastAsia="Calibri" w:hAnsi="Calibri"/>
          <w:b/>
          <w:bCs/>
          <w:color w:val="2F5D57"/>
          <w:sz w:val="26"/>
          <w:szCs w:val="26"/>
        </w:rPr>
        <w:t xml:space="preserve">（数据、结果与图 2 说明）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6A63"/>
          <w:sz w:val="20"/>
          <w:szCs w:val="20"/>
        </w:rPr>
        <w:t xml:space="preserve">多重超图上的 SIR 传播 · 群体闭合理论的第三条独立阈值复核</w:t>
      </w:r>
    </w:p>
    <w:p>
      <w:pPr>
        <w:pBdr>
          <w:bottom w:val="single" w:color="D8D8D2" w:sz="6"/>
        </w:pBdr>
        <w:spacing w:after="120" w:before="6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F5D57"/>
          <w:sz w:val="28"/>
          <w:szCs w:val="28"/>
        </w:rPr>
        <w:t xml:space="preserve">1  方法概述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0201E"/>
          <w:sz w:val="20"/>
          <w:szCs w:val="20"/>
        </w:rPr>
        <w:t xml:space="preserve">阈值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的第三条独立复核不经由线性化，而由亚临界终态的规模发散给出。取一个小的初始感染比例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（每个节点独立以概率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置为感染态），在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&lt;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处将群体闭合方程组 (2.2)、(2.4)–(2.6) 积分至终态，由 I(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∞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)=0 得最终规模 R(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∞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 = 1 − (1−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)·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Ψ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Φ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∞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0201E"/>
          <w:sz w:val="20"/>
          <w:szCs w:val="20"/>
        </w:rPr>
        <w:t xml:space="preserve">亚临界簇的平均总规模为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χ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 =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𝟙</w:t>
      </w:r>
      <w:r>
        <w:rPr>
          <w:rFonts w:ascii="Calibri" w:cs="Calibri" w:eastAsia="Calibri" w:hAnsi="Calibri"/>
          <w:color w:val="20201E"/>
          <w:sz w:val="20"/>
          <w:szCs w:val="20"/>
          <w:vertAlign w:val="superscript"/>
        </w:rPr>
        <w:t xml:space="preserve">ᵀ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(I−N)</w:t>
      </w:r>
      <w:r>
        <w:rPr>
          <w:rFonts w:ascii="Calibri" w:cs="Calibri" w:eastAsia="Calibri" w:hAnsi="Calibri"/>
          <w:color w:val="20201E"/>
          <w:sz w:val="20"/>
          <w:szCs w:val="20"/>
          <w:vertAlign w:val="superscript"/>
        </w:rPr>
        <w:t xml:space="preserve">−1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v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0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，在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(N)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→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1</w:t>
      </w:r>
      <w:r>
        <w:rPr>
          <w:rFonts w:ascii="Calibri" w:cs="Calibri" w:eastAsia="Calibri" w:hAnsi="Calibri"/>
          <w:color w:val="20201E"/>
          <w:sz w:val="20"/>
          <w:szCs w:val="20"/>
          <w:vertAlign w:val="superscript"/>
        </w:rPr>
        <w:t xml:space="preserve">−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时按 (1−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</w:t>
      </w:r>
      <w:r>
        <w:rPr>
          <w:rFonts w:ascii="Calibri" w:cs="Calibri" w:eastAsia="Calibri" w:hAnsi="Calibri"/>
          <w:color w:val="20201E"/>
          <w:sz w:val="20"/>
          <w:szCs w:val="20"/>
          <w:vertAlign w:val="superscript"/>
        </w:rPr>
        <w:t xml:space="preserve">−1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发散；因而其倒数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/R(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∞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 = 1/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χ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随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线性趋零，零点即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。有限种子的偏置由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→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0 的 Richardson 外推消去。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0201E"/>
          <w:sz w:val="20"/>
          <w:szCs w:val="20"/>
        </w:rPr>
        <w:t xml:space="preserve">该路径与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(N)=1 的特征值计算</w:t>
      </w:r>
      <w:r>
        <w:rPr>
          <w:rFonts w:ascii="Calibri" w:cs="Calibri" w:eastAsia="Calibri" w:hAnsi="Calibri"/>
          <w:b/>
          <w:bCs/>
          <w:color w:val="20201E"/>
          <w:sz w:val="20"/>
          <w:szCs w:val="20"/>
        </w:rPr>
        <w:t xml:space="preserve">不共享代码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：一侧是非线性方程组积分至终态再作线性拟合，另一侧是次代矩阵 N 的谱半径二分。两者仅共享模型定义，故构成一次真正独立的比对。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F5D57"/>
          <w:sz w:val="28"/>
          <w:szCs w:val="28"/>
        </w:rPr>
        <w:t xml:space="preserve">2  理论正确性校验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0201E"/>
          <w:sz w:val="20"/>
          <w:szCs w:val="20"/>
        </w:rPr>
        <w:t xml:space="preserve">在引入结果之前先确立理论自身的可信度。下表汇总解析锚点与闭合方程组的内部自检，全部通过。</w:t>
      </w:r>
    </w:p>
    <w:tbl>
      <w:tblPr>
        <w:tblW w:type="dxa" w:w="9560"/>
        <w:tblBorders>
          <w:top w:val="single" w:color="BFC6C4" w:sz="4"/>
          <w:left w:val="none"/>
          <w:bottom w:val="single" w:color="BFC6C4" w:sz="4"/>
          <w:right w:val="none"/>
          <w:insideH w:val="single" w:color="E2E2DC" w:sz="2"/>
          <w:insideV w:val="none"/>
        </w:tblBorders>
      </w:tblPr>
      <w:tblGrid>
        <w:gridCol w:w="3100"/>
        <w:gridCol w:w="2400"/>
        <w:gridCol w:w="3060"/>
        <w:gridCol w:w="1000"/>
      </w:tblGrid>
      <w:tr>
        <w:trPr>
          <w:cantSplit/>
          <w:tblHeader/>
        </w:trPr>
        <w:tc>
          <w:tcPr>
            <w:tcW w:type="dxa" w:w="310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校验项</w:t>
            </w:r>
          </w:p>
        </w:tc>
        <w:tc>
          <w:tcPr>
            <w:tcW w:type="dxa" w:w="240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期望</w:t>
            </w:r>
          </w:p>
        </w:tc>
        <w:tc>
          <w:tcPr>
            <w:tcW w:type="dxa" w:w="306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计算结果</w:t>
            </w:r>
          </w:p>
        </w:tc>
        <w:tc>
          <w:tcPr>
            <w:tcW w:type="dxa" w:w="100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C(2,λ,1) = λ/(1+λ)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精确</w:t>
            </w:r>
          </w:p>
        </w:tc>
        <w:tc>
          <w:tcPr>
            <w:tcW w:type="dxa" w:w="3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λ=0.13/0.35/1/2 均到 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C(3,4,5; λ=1) 超出 (m−1)T</w:t>
            </w:r>
          </w:p>
        </w:tc>
        <w:tc>
          <w:tcPr>
            <w:tcW w:type="dxa" w:w="24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11 / 22 / 31 %</w:t>
            </w:r>
          </w:p>
        </w:tc>
        <w:tc>
          <w:tcPr>
            <w:tcW w:type="dxa" w:w="30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11.11 / 21.53 / 31.05 %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单种子激活 θ≥2 的群体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C = 0</w:t>
            </w:r>
          </w:p>
        </w:tc>
        <w:tc>
          <w:tcPr>
            <w:tcW w:type="dxa" w:w="3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7"/>
                <w:szCs w:val="17"/>
              </w:rPr>
              <w:t xml:space="preserve">Anchor A: P={(2,2),(3,3)}, m=(3,3), λ=0.13</w:t>
            </w:r>
          </w:p>
        </w:tc>
        <w:tc>
          <w:tcPr>
            <w:tcW w:type="dxa" w:w="24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ρ(N) = 1.013</w:t>
            </w:r>
          </w:p>
        </w:tc>
        <w:tc>
          <w:tcPr>
            <w:tcW w:type="dxa" w:w="30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N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bscript"/>
              </w:rPr>
              <w:t xml:space="preserve">11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=0.3860, ρ=1.0132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成对退化 5-正则单层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20"/>
                <w:szCs w:val="20"/>
              </w:rPr>
              <w:t xml:space="preserve">λ</w:t>
            </w:r>
            <w:r>
              <w:rPr>
                <w:rFonts w:ascii="Calibri" w:cs="Calibri" w:eastAsia="Calibri" w:hAnsi="Calibri"/>
                <w:color w:val="20201E"/>
                <w:sz w:val="20"/>
                <w:szCs w:val="20"/>
                <w:vertAlign w:val="subscript"/>
              </w:rPr>
              <w:t xml:space="preserve">c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 = 1/3</w:t>
            </w:r>
          </w:p>
        </w:tc>
        <w:tc>
          <w:tcPr>
            <w:tcW w:type="dxa" w:w="3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0.3333333333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Anchor B: θ=2 通道出列</w:t>
            </w:r>
          </w:p>
        </w:tc>
        <w:tc>
          <w:tcPr>
            <w:tcW w:type="dxa" w:w="24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阈值不变</w:t>
            </w:r>
          </w:p>
        </w:tc>
        <w:tc>
          <w:tcPr>
            <w:tcW w:type="dxa" w:w="30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C=0，精确相等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Anchor B: 大纲 0.410619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ρ值 × (1+2.5%)</w:t>
            </w:r>
          </w:p>
        </w:tc>
        <w:tc>
          <w:tcPr>
            <w:tcW w:type="dxa" w:w="3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0.400567 × 1.0251 = +2.51%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求和规则 (2.6)</w:t>
            </w:r>
          </w:p>
        </w:tc>
        <w:tc>
          <w:tcPr>
            <w:tcW w:type="dxa" w:w="24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≈ 0</w:t>
            </w:r>
          </w:p>
        </w:tc>
        <w:tc>
          <w:tcPr>
            <w:tcW w:type="dxa" w:w="30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残差 ~ 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−17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全易感恒等式 (2.7)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≈ 0</w:t>
            </w:r>
          </w:p>
        </w:tc>
        <w:tc>
          <w:tcPr>
            <w:tcW w:type="dxa" w:w="3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残差 ~ 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1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无病定态 Jacobian 谱横标</w:t>
            </w:r>
          </w:p>
        </w:tc>
        <w:tc>
          <w:tcPr>
            <w:tcW w:type="dxa" w:w="24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0  at  </w:t>
            </w:r>
            <w:r>
              <w:rPr>
                <w:rFonts w:ascii="Calibri" w:cs="Calibri" w:eastAsia="Calibri" w:hAnsi="Calibri"/>
                <w:color w:val="20201E"/>
                <w:sz w:val="20"/>
                <w:szCs w:val="20"/>
              </w:rPr>
              <w:t xml:space="preserve">λ</w:t>
            </w:r>
            <w:r>
              <w:rPr>
                <w:rFonts w:ascii="Calibri" w:cs="Calibri" w:eastAsia="Calibri" w:hAnsi="Calibri"/>
                <w:color w:val="20201E"/>
                <w:sz w:val="20"/>
                <w:szCs w:val="20"/>
                <w:vertAlign w:val="subscript"/>
              </w:rPr>
              <w:t xml:space="preserve">c</w:t>
            </w:r>
          </w:p>
        </w:tc>
        <w:tc>
          <w:tcPr>
            <w:tcW w:type="dxa" w:w="30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0（机器精度）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20201E"/>
          <w:sz w:val="18"/>
          <w:szCs w:val="18"/>
        </w:rPr>
        <w:t xml:space="preserve">要点：大纲 2.9 节的 0.410619 并非 </w:t>
      </w:r>
      <w:r>
        <w:rPr>
          <w:rFonts w:ascii="Calibri" w:cs="Calibri" w:eastAsia="Calibri" w:hAnsi="Calibri"/>
          <w:color w:val="20201E"/>
          <w:sz w:val="18"/>
          <w:szCs w:val="18"/>
        </w:rPr>
        <w:t xml:space="preserve">ρ</w:t>
      </w:r>
      <w:r>
        <w:rPr>
          <w:rFonts w:ascii="Calibri" w:cs="Calibri" w:eastAsia="Calibri" w:hAnsi="Calibri"/>
          <w:color w:val="20201E"/>
          <w:sz w:val="18"/>
          <w:szCs w:val="18"/>
        </w:rPr>
        <w:t xml:space="preserve">(N)=1 的值，而是有限 t</w:t>
      </w:r>
      <w:r>
        <w:rPr>
          <w:rFonts w:ascii="Calibri" w:cs="Calibri" w:eastAsia="Calibri" w:hAnsi="Calibri"/>
          <w:color w:val="20201E"/>
          <w:sz w:val="18"/>
          <w:szCs w:val="18"/>
          <w:vertAlign w:val="subscript"/>
        </w:rPr>
        <w:t xml:space="preserve">max</w:t>
      </w:r>
      <w:r>
        <w:rPr>
          <w:rFonts w:ascii="Calibri" w:cs="Calibri" w:eastAsia="Calibri" w:hAnsi="Calibri"/>
          <w:color w:val="20201E"/>
          <w:sz w:val="18"/>
          <w:szCs w:val="18"/>
        </w:rPr>
        <w:t xml:space="preserve"> 的终态二分阈值——本文 </w:t>
      </w:r>
      <w:r>
        <w:rPr>
          <w:rFonts w:ascii="Calibri" w:cs="Calibri" w:eastAsia="Calibri" w:hAnsi="Calibri"/>
          <w:color w:val="20201E"/>
          <w:sz w:val="18"/>
          <w:szCs w:val="18"/>
        </w:rPr>
        <w:t xml:space="preserve">ρ</w:t>
      </w:r>
      <w:r>
        <w:rPr>
          <w:rFonts w:ascii="Calibri" w:cs="Calibri" w:eastAsia="Calibri" w:hAnsi="Calibri"/>
          <w:i/>
          <w:iCs/>
          <w:color w:val="20201E"/>
          <w:sz w:val="18"/>
          <w:szCs w:val="18"/>
        </w:rPr>
        <w:t xml:space="preserve">(N)=1 给 0.400567，二者比值恰为 1.0251，正是 3.1 节记录的“积分窗口偏高 2.5–2.6%”。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F5D57"/>
          <w:sz w:val="28"/>
          <w:szCs w:val="28"/>
        </w:rPr>
        <w:t xml:space="preserve">3  主结果：八组构型的 λc 外推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0201E"/>
          <w:sz w:val="20"/>
          <w:szCs w:val="20"/>
        </w:rPr>
        <w:t xml:space="preserve">窗口取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∈ [0.90, 0.995]·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的 10 个点，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→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0 后作线性外推，x 截距即外推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。跨越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∈ [0.08, 0.40] 的八组构型（单层高阶超图、成对退化网络、双层多重超图）结果如下。</w:t>
      </w:r>
    </w:p>
    <w:tbl>
      <w:tblPr>
        <w:tblW w:type="dxa" w:w="9160"/>
        <w:tblBorders>
          <w:top w:val="single" w:color="BFC6C4" w:sz="4"/>
          <w:left w:val="none"/>
          <w:bottom w:val="single" w:color="BFC6C4" w:sz="4"/>
          <w:right w:val="none"/>
          <w:insideH w:val="single" w:color="E2E2DC" w:sz="2"/>
          <w:insideV w:val="none"/>
        </w:tblBorders>
      </w:tblPr>
      <w:tblGrid>
        <w:gridCol w:w="2260"/>
        <w:gridCol w:w="1560"/>
        <w:gridCol w:w="1560"/>
        <w:gridCol w:w="1300"/>
        <w:gridCol w:w="1340"/>
        <w:gridCol w:w="1140"/>
      </w:tblGrid>
      <w:tr>
        <w:trPr>
          <w:cantSplit/>
          <w:tblHeader/>
        </w:trPr>
        <w:tc>
          <w:tcPr>
            <w:tcW w:type="dxa" w:w="226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构型</w:t>
            </w:r>
          </w:p>
        </w:tc>
        <w:tc>
          <w:tcPr>
            <w:tcW w:type="dxa" w:w="156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λᴄ [ρ(N)=1]</w:t>
            </w:r>
          </w:p>
        </w:tc>
        <w:tc>
          <w:tcPr>
            <w:tcW w:type="dxa" w:w="156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λᴄ [外推]</w:t>
            </w:r>
          </w:p>
        </w:tc>
        <w:tc>
          <w:tcPr>
            <w:tcW w:type="dxa" w:w="130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相对偏差</w:t>
            </w:r>
          </w:p>
        </w:tc>
        <w:tc>
          <w:tcPr>
            <w:tcW w:type="dxa" w:w="134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σ</w:t>
            </w:r>
          </w:p>
        </w:tc>
        <w:tc>
          <w:tcPr>
            <w:tcW w:type="dxa" w:w="114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偏离 (σ)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2-layer  m=(4,4)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0.080302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0.080354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+0.065%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3.4×10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+1.51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2-layer  m=(3,4)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0.099309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0.099370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+0.062%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4.4×10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+1.38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2-layer  m=(3,3)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0.128162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0.128236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+0.058%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5.9×10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+1.26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3-reg.  m=4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0.174483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0.174536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+0.031%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9.8×10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+0.55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2-layer  m=(2,3)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0.185417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0.185512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+0.052%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9.3×10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+1.03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6-reg.  pairwise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0.250000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0.250096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+0.039%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1.3×10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+0.76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5-reg.  pairwise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0.333333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0.333440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+0.032%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1.9×10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+0.57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1-layer  m=3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0.400567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0.400702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+0.034%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2.9×10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01E"/>
                <w:sz w:val="18"/>
                <w:szCs w:val="18"/>
              </w:rPr>
              <w:t xml:space="preserve">+0.47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20201E"/>
          <w:sz w:val="20"/>
          <w:szCs w:val="20"/>
        </w:rPr>
        <w:t xml:space="preserve">最大相对偏差 6.5</w:t>
      </w:r>
      <w:r>
        <w:rPr>
          <w:rFonts w:ascii="Calibri" w:cs="Calibri" w:eastAsia="Calibri" w:hAnsi="Calibri"/>
          <w:b/>
          <w:bCs/>
          <w:color w:val="20201E"/>
          <w:sz w:val="20"/>
          <w:szCs w:val="20"/>
        </w:rPr>
        <w:t xml:space="preserve">×</w:t>
      </w:r>
      <w:r>
        <w:rPr>
          <w:rFonts w:ascii="Calibri" w:cs="Calibri" w:eastAsia="Calibri" w:hAnsi="Calibri"/>
          <w:b/>
          <w:bCs/>
          <w:color w:val="20201E"/>
          <w:sz w:val="20"/>
          <w:szCs w:val="20"/>
        </w:rPr>
        <w:t xml:space="preserve">10</w:t>
      </w:r>
      <w:r>
        <w:rPr>
          <w:rFonts w:ascii="Calibri" w:cs="Calibri" w:eastAsia="Calibri" w:hAnsi="Calibri"/>
          <w:b/>
          <w:bCs/>
          <w:color w:val="20201E"/>
          <w:sz w:val="20"/>
          <w:szCs w:val="20"/>
          <w:vertAlign w:val="superscript"/>
        </w:rPr>
        <w:t xml:space="preserve">−4</w:t>
      </w:r>
      <w:r>
        <w:rPr>
          <w:rFonts w:ascii="Calibri" w:cs="Calibri" w:eastAsia="Calibri" w:hAnsi="Calibri"/>
          <w:b/>
          <w:bCs/>
          <w:color w:val="20201E"/>
          <w:sz w:val="20"/>
          <w:szCs w:val="20"/>
        </w:rPr>
        <w:t xml:space="preserve">，八组全部落在拟合不确定度的 1.51</w:t>
      </w:r>
      <w:r>
        <w:rPr>
          <w:rFonts w:ascii="Calibri" w:cs="Calibri" w:eastAsia="Calibri" w:hAnsi="Calibri"/>
          <w:b/>
          <w:bCs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b/>
          <w:bCs/>
          <w:color w:val="20201E"/>
          <w:sz w:val="20"/>
          <w:szCs w:val="20"/>
        </w:rPr>
        <w:t xml:space="preserve"> 之内。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残余为已知的有限窗口效应——1/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χ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仅在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邻域严格线性，窗口凸性使外推零点略偏高，其符号随窗口位置翻转、量级与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相当，故不可与真实偏离区分。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F5D57"/>
          <w:sz w:val="28"/>
          <w:szCs w:val="28"/>
        </w:rPr>
        <w:t xml:space="preserve">4  独立交叉验证</w:t>
      </w:r>
    </w:p>
    <w:tbl>
      <w:tblPr>
        <w:tblW w:type="dxa" w:w="9560"/>
        <w:tblBorders>
          <w:top w:val="single" w:color="BFC6C4" w:sz="4"/>
          <w:left w:val="none"/>
          <w:bottom w:val="single" w:color="BFC6C4" w:sz="4"/>
          <w:right w:val="none"/>
          <w:insideH w:val="single" w:color="E2E2DC" w:sz="2"/>
          <w:insideV w:val="none"/>
        </w:tblBorders>
      </w:tblPr>
      <w:tblGrid>
        <w:gridCol w:w="3050"/>
        <w:gridCol w:w="3050"/>
        <w:gridCol w:w="3460"/>
      </w:tblGrid>
      <w:tr>
        <w:trPr>
          <w:cantSplit/>
          <w:tblHeader/>
        </w:trPr>
        <w:tc>
          <w:tcPr>
            <w:tcW w:type="dxa" w:w="305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检验</w:t>
            </w:r>
          </w:p>
        </w:tc>
        <w:tc>
          <w:tcPr>
            <w:tcW w:type="dxa" w:w="305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方法</w:t>
            </w:r>
          </w:p>
        </w:tc>
        <w:tc>
          <w:tcPr>
            <w:tcW w:type="dxa" w:w="3460"/>
            <w:shd w:fill="E7F1E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57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闭合终态 = 分支公式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7"/>
                <w:szCs w:val="17"/>
              </w:rPr>
              <w:t xml:space="preserve">χ_ODE vs 1+𝟙ᵀ(I−Nᵀ)⁻¹g</w:t>
            </w:r>
          </w:p>
        </w:tc>
        <w:tc>
          <w:tcPr>
            <w:tcW w:type="dxa" w:w="3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ε→0 收敛：3.7×10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−3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→ 1.1×10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</w:tr>
      <w:tr>
        <w:trPr>
          <w:cantSplit/>
          <w:tblHeader w:val="false"/>
        </w:trPr>
        <w:tc>
          <w:tcPr>
            <w:tcW w:type="dxa" w:w="305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级联 C 独立复核</w:t>
            </w:r>
          </w:p>
        </w:tc>
        <w:tc>
          <w:tcPr>
            <w:tcW w:type="dxa" w:w="305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单群体直接 Gillespie，10⁶ 抽样</w:t>
            </w:r>
          </w:p>
        </w:tc>
        <w:tc>
          <w:tcPr>
            <w:tcW w:type="dxa" w:w="34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≤ ~1σ 吻合（含 m=2 解析、θ≥2）</w:t>
            </w:r>
          </w:p>
        </w:tc>
      </w:tr>
      <w:tr>
        <w:trPr>
          <w:cantSplit/>
          <w:tblHeader w:val="false"/>
        </w:trPr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终态 t_max 收敛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t_max ∈ [2×10⁴, 1.2×10⁵]</w:t>
            </w:r>
          </w:p>
        </w:tc>
        <w:tc>
          <w:tcPr>
            <w:tcW w:type="dxa" w:w="3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χ 不变；残余激活质量 ≤ 10</w:t>
            </w:r>
            <w:r>
              <w:rPr>
                <w:rFonts w:ascii="Calibri" w:cs="Calibri" w:eastAsia="Calibri" w:hAnsi="Calibri"/>
                <w:color w:val="20201E"/>
                <w:sz w:val="18"/>
                <w:szCs w:val="18"/>
                <w:vertAlign w:val="superscript"/>
              </w:rPr>
              <w:t xml:space="preserve">−20</w:t>
            </w:r>
          </w:p>
        </w:tc>
      </w:tr>
      <w:tr>
        <w:trPr>
          <w:cantSplit/>
          <w:tblHeader w:val="false"/>
        </w:trPr>
        <w:tc>
          <w:tcPr>
            <w:tcW w:type="dxa" w:w="305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ρ(λ) 单调性</w:t>
            </w:r>
          </w:p>
        </w:tc>
        <w:tc>
          <w:tcPr>
            <w:tcW w:type="dxa" w:w="305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8 点扫描</w:t>
            </w:r>
          </w:p>
        </w:tc>
        <w:tc>
          <w:tcPr>
            <w:tcW w:type="dxa" w:w="34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严格递增 (0.21→2.72)，二分适定</w:t>
            </w:r>
          </w:p>
        </w:tc>
      </w:tr>
      <w:tr>
        <w:trPr>
          <w:cantSplit/>
          <w:tblHeader w:val="false"/>
        </w:trPr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ODE 过阈行为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ε=0.02，跨越 λᴄ</w:t>
            </w:r>
          </w:p>
        </w:tc>
        <w:tc>
          <w:tcPr>
            <w:tcW w:type="dxa" w:w="3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0201E"/>
                <w:sz w:val="18"/>
                <w:szCs w:val="18"/>
              </w:rPr>
              <w:t xml:space="preserve">亚临界 R(∞)~O(ε)，超临界 O(1)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F5D57"/>
          <w:sz w:val="28"/>
          <w:szCs w:val="28"/>
        </w:rPr>
        <w:t xml:space="preserve">5  图 2 说明</w:t>
      </w:r>
    </w:p>
    <w:p>
      <w:pPr>
        <w:spacing w:after="60" w:before="60"/>
        <w:jc w:val="center"/>
      </w:pPr>
      <w:r>
        <w:drawing>
          <wp:inline distT="0" distB="0" distL="0" distR="0">
            <wp:extent cx="61722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6A63"/>
          <w:sz w:val="18"/>
          <w:szCs w:val="18"/>
        </w:rPr>
        <w:t xml:space="preserve">图 2  由亚临界终态外推测定爆发阈值 λc，并与 ρ(N)=1 独立比对。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C6E64"/>
          <w:sz w:val="20"/>
          <w:szCs w:val="20"/>
        </w:rPr>
        <w:t xml:space="preserve">（a）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方法。逆平均簇规模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/R(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∞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 随归一化控制参数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/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线性趋零（示例三组构型：双层 m=(3,4)、成对 6-正则、单层 m=3）。散点为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ε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→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0 外推后的闭合终态，实线为近阈值窗口 [0.90, 0.995]·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的线性拟合；三线一同汇聚于空心圆标记处，即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(N)=1 给出的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（归一化后为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/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=1）。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C6E64"/>
          <w:sz w:val="20"/>
          <w:szCs w:val="20"/>
        </w:rPr>
        <w:t xml:space="preserve">（b）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一致性。八组构型的外推值与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(N)=1 值落在对角线（identity）上，最大相对偏差 6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×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10</w:t>
      </w:r>
      <w:r>
        <w:rPr>
          <w:rFonts w:ascii="Calibri" w:cs="Calibri" w:eastAsia="Calibri" w:hAnsi="Calibri"/>
          <w:color w:val="20201E"/>
          <w:sz w:val="20"/>
          <w:szCs w:val="20"/>
          <w:vertAlign w:val="superscript"/>
        </w:rPr>
        <w:t xml:space="preserve">−4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。误差棒为回归标准误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（在此标度下不可见，反映一致程度之高）。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C6E64"/>
          <w:sz w:val="20"/>
          <w:szCs w:val="20"/>
        </w:rPr>
        <w:t xml:space="preserve">（c）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偏离的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数。纵轴 (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^extr −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^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)/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直接给出每组构型偏离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(N)=1 的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数；八组全部落在 1.5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之内，阴影为 ±1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、±2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带。全部为正是有限窗口凸性所致的微小系统性，量级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≤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0.065%。</w:t>
      </w:r>
    </w:p>
    <w:p>
      <w:pPr>
        <w:pBdr>
          <w:bottom w:val="single" w:color="D8D8D2" w:sz="6"/>
        </w:pBdr>
        <w:spacing w:after="120" w:before="60"/>
      </w:pPr>
    </w:p>
    <w:p>
      <w:pPr>
        <w:spacing w:after="0" w:before="0" w:line="276"/>
      </w:pPr>
      <w:r>
        <w:rPr>
          <w:rFonts w:ascii="Calibri" w:cs="Calibri" w:eastAsia="Calibri" w:hAnsi="Calibri"/>
          <w:b/>
          <w:bCs/>
          <w:color w:val="2F5D57"/>
          <w:sz w:val="20"/>
          <w:szCs w:val="20"/>
        </w:rPr>
        <w:t xml:space="preserve">结论：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由亚临界终态外推得到的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λ</w:t>
      </w:r>
      <w:r>
        <w:rPr>
          <w:rFonts w:ascii="Calibri" w:cs="Calibri" w:eastAsia="Calibri" w:hAnsi="Calibri"/>
          <w:color w:val="20201E"/>
          <w:sz w:val="20"/>
          <w:szCs w:val="20"/>
          <w:vertAlign w:val="subscript"/>
        </w:rPr>
        <w:t xml:space="preserve">c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与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ρ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(N)=1 在八组构型上一致到 6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×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10</w:t>
      </w:r>
      <w:r>
        <w:rPr>
          <w:rFonts w:ascii="Calibri" w:cs="Calibri" w:eastAsia="Calibri" w:hAnsi="Calibri"/>
          <w:color w:val="20201E"/>
          <w:sz w:val="20"/>
          <w:szCs w:val="20"/>
          <w:vertAlign w:val="superscript"/>
        </w:rPr>
        <w:t xml:space="preserve">−4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、全部 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≤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 1.5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σ</w:t>
      </w:r>
      <w:r>
        <w:rPr>
          <w:rFonts w:ascii="Calibri" w:cs="Calibri" w:eastAsia="Calibri" w:hAnsi="Calibri"/>
          <w:color w:val="20201E"/>
          <w:sz w:val="20"/>
          <w:szCs w:val="20"/>
        </w:rPr>
        <w:t xml:space="preserve">；这是对爆发阈值的一次全非线性、独立的确认，与数值 Jacobian 复核（检验线性化谱）互补。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0a0acb9e23aa5c1c48bb1d88c60f5ecccb0e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2026-08-16T02:47:23.864Z</dcterms:created>
  <dcterms:modified xsi:type="dcterms:W3CDTF">2026-08-16T02:47:23.864Z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