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执行计划（目标期刊已定后重排）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取代大纲 R.2 / R.3 · 目标期刊：PRE / Communications Physics · 短工期路线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重排原因：v2 的三项发现改变了工序与部分任务的实现方式，原 8 周骨架已不适用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为什么要重排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大纲的 R.2/R.3 是在三件事都还没发生时排的。现在它们发生了：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v2 发现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对计划的影响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定义已完成（</w:t>
            </w:r>
            <w:r>
              <w:rPr>
                <w:rFonts w:ascii="Consolas" w:eastAsia="SimSun" w:hAnsi="Consolas"/>
              </w:rPr>
              <w:t xml:space="preserve">alpha-definition.md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解锁</w:t>
            </w:r>
            <w:r>
              <w:rPr>
                <w:rFonts w:ascii="Times New Roman" w:cs="Times New Roman" w:eastAsia="SimSun" w:hAnsi="Times New Roman"/>
              </w:rPr>
              <w:t xml:space="preserve">工具 2（V.4），但实现手柄从"调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均值"变为"调重叠对数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"——原实现思路会直接失败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是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-偶的（宇称定理）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作废</w:t>
            </w:r>
            <w:r>
              <w:rPr>
                <w:rFonts w:ascii="Times New Roman" w:cs="Times New Roman" w:eastAsia="SimSun" w:hAnsi="Times New Roman"/>
              </w:rPr>
              <w:t xml:space="preserve">大纲 V.5 的实验设计。扫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得到的方向差异只是有限尺寸涨落，不是破缺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不可由保度重连调节（数值确认，变化恰为 0）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确认</w:t>
            </w:r>
            <w:r>
              <w:rPr>
                <w:rFonts w:ascii="Times New Roman" w:cs="Times New Roman" w:eastAsia="SimSun" w:hAnsi="Times New Roman"/>
              </w:rPr>
              <w:t xml:space="preserve">大纲把 V.3（标签置换调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）与 V.2/V.4（重连调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）分开是对的，二者不可合并；第 3 周实现时须保持这一分工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[li2024directed] 已在有向超图上做过均场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一项此前不在大纲里的必做实验：均场基线 + 边基对照。C1 的全部价值现在系于这个对照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此外，C3 收窄后新增两项配套工作（外部均匀采样器接入、混杂审计面板），也不在原计划内。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净效果：原 8 周 → 现实约 10 周。</w:t>
      </w:r>
      <w:r>
        <w:rPr>
          <w:rFonts w:ascii="Times New Roman" w:cs="Times New Roman" w:eastAsia="SimSun" w:hAnsi="Times New Roman"/>
        </w:rPr>
        <w:t xml:space="preserve"> 下面按新的依赖关系重排。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关键路径</w:t>
      </w:r>
    </w:p>
    <w:p>
      <w:pPr>
        <w:shd w:fill="F4F6F8" w:val="clear"/>
        <w:spacing w:after="0" w:before="14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V.1/V.2 生成器 ✅ ──┬─→ 均场基线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├─→ [W1] C1 对照实验 ──┐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Gillespie ─┘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├─→ [W6-7] 结果图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├─→ V.3 r_io 扫描 ✅ ─────────────────┤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│          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└─→ [W3] V.4 α 扫描（新实现）─────────┤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│                           │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└─→ [W4] V.5 Δα 破缺（新设计）</w:t>
      </w:r>
    </w:p>
    <w:p>
      <w:pPr>
        <w:shd w:fill="F4F6F8" w:val="clear"/>
        <w:spacing w:after="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                              </w:t>
      </w:r>
    </w:p>
    <w:p>
      <w:pPr>
        <w:shd w:fill="F4F6F8" w:val="clear"/>
        <w:spacing w:after="140" w:before="0" w:line="240"/>
        <w:ind w:left="200"/>
      </w:pPr>
      <w:r>
        <w:rPr>
          <w:rFonts w:ascii="Consolas" w:eastAsia="SimSun" w:hAnsi="Consolas"/>
          <w:sz w:val="17"/>
          <w:szCs w:val="17"/>
        </w:rPr>
        <w:t xml:space="preserve">[W2] 并发型 EBCM 手推 ──→ [W5] μ→0 桥接 ←── [W2] 渗流 PGF 阈值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关键路径是 </w:t>
      </w:r>
      <w:r>
        <w:rPr>
          <w:rFonts w:ascii="Consolas" w:eastAsia="SimSun" w:hAnsi="Consolas"/>
          <w:b/>
          <w:bCs/>
        </w:rPr>
        <w:t xml:space="preserve">均场基线 → C1 对照 → 结果图</w:t>
      </w:r>
      <w:r>
        <w:rPr>
          <w:rFonts w:ascii="Times New Roman" w:cs="Times New Roman" w:eastAsia="SimSun" w:hAnsi="Times New Roman"/>
        </w:rPr>
        <w:t xml:space="preserve">，不是原计划以为的 EBCM 推导。因为 C1 的贡献声明已经改成"相对均场的增益"，没有这个对照，C1 就只是一组无人要求的方程。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周计划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1 周　C1 的立身之本：均场 vs 边基对照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这是新增的、也是最该先做的一周。</w:t>
      </w:r>
      <w:r>
        <w:rPr>
          <w:rFonts w:ascii="Times New Roman" w:cs="Times New Roman" w:eastAsia="SimSun" w:hAnsi="Times New Roman"/>
          <w:b/>
          <w:bCs/>
        </w:rPr>
        <w:t xml:space="preserve">先做它是因为：如果边基相对均场的增益在阈值邻域小到测不出来，C1 就不成立，整篇论文的骨架要重搭——这个风险必须最早暴露。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 [li2024directed] 式的均场基线（按超度分类的房室方程），作为对照组；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实现有向超图上的精确 Gillespie 仿真（大纲 III.4 步骤 1），作为真值；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在阈值邻域扫参，出第一张图：</w:t>
      </w:r>
      <w:r>
        <w:rPr>
          <w:rFonts w:ascii="Times New Roman" w:cs="Times New Roman" w:eastAsia="SimSun" w:hAnsi="Times New Roman"/>
          <w:b/>
          <w:bCs/>
        </w:rPr>
        <w:t xml:space="preserve">均场误差 vs 边基误差 vs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早停判据：</w:t>
      </w:r>
      <w:r>
        <w:rPr>
          <w:rFonts w:ascii="Times New Roman" w:cs="Times New Roman" w:eastAsia="SimSun" w:hAnsi="Times New Roman"/>
          <w:color w:val="3A4A5A"/>
        </w:rPr>
        <w:t xml:space="preserve"> 若边基在阈值邻域的误差改善不足一个量级，立即停下来重新评估 C1 的措辞与全文骨架，不要继续往下推。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2 周　两套理论的推导（可并行）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方程侧</w:t>
      </w:r>
      <w:r>
        <w:rPr>
          <w:rFonts w:ascii="Times New Roman" w:cs="Times New Roman" w:eastAsia="SimSun" w:hAnsi="Times New Roman"/>
        </w:rPr>
        <w:t xml:space="preserve">：并发型 EBCM 的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手推与闭合（大纲 III.2–III.3），标出闭合引入误差的位置；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渗流侧</w:t>
      </w:r>
      <w:r>
        <w:rPr>
          <w:rFonts w:ascii="Times New Roman" w:cs="Times New Roman" w:eastAsia="SimSun" w:hAnsi="Times New Roman"/>
        </w:rPr>
        <w:t xml:space="preserve">：SIR→有向超图渗流映射的等价性论证 + PGF 自洽方程 + 阈值条件（IV.1–IV.3）。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按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§3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顺带起草 IV.4 的 k-core 双声明。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3 周　V.4：α 扫描（按新定义重新实现）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不要照大纲原方案写。</w:t>
      </w:r>
      <w:r>
        <w:rPr>
          <w:rFonts w:ascii="Times New Roman" w:cs="Times New Roman" w:eastAsia="SimSun" w:hAnsi="Times New Roman"/>
        </w:rPr>
        <w:t xml:space="preserve"> 保度约束下四通道重叠总量被度序列锁死，调节手柄是重叠对数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实现条件均值形式的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测量；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实现以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为目标的保度双边交换（Metropolis，能量取 </w:t>
      </w:r>
      <w:r>
        <w:rPr>
          <w:rFonts w:ascii="Consolas" w:eastAsia="SimSun" w:hAnsi="Consolas"/>
        </w:rPr>
        <w:t xml:space="preserve">part1-introduction.md</w:t>
      </w:r>
      <w:r>
        <w:rPr>
          <w:rFonts w:ascii="Times New Roman" w:cs="Times New Roman" w:eastAsia="SimSun" w:hAnsi="Times New Roman"/>
        </w:rPr>
        <w:t xml:space="preserve"> I.2 中的形式）；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验证：保度严格成立、命中目标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、且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被固定住；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同时实现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（Lotito strong 互惠档）的测量——注意它是超边级判据，与张量分量不同类。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4 周　V.5：方向对称性破缺（按宇称定理重新设计）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序参量必须取爆发概率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与条件爆发规模 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  <w:b/>
          <w:bCs/>
        </w:rPr>
        <w:t xml:space="preserve">，不能取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——命题 2 说明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在逐对独立传播下对任意结构不变；超边级激活破坏其假设 (ii)，预跑测得残余约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5.05σ</w:t>
      </w:r>
      <w:r>
        <w:rPr>
          <w:rFonts w:ascii="Times New Roman" w:cs="Times New Roman" w:eastAsia="SimSun" w:hAnsi="Times New Roman"/>
        </w:rPr>
        <w:t xml:space="preserve">），仍比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的破缺幅度（</w:t>
      </w:r>
      <w:r>
        <w:rPr>
          <w:rFonts w:ascii="Cambria Math" w:eastAsia="SimSun" w:hAnsi="Cambria Math"/>
          <w:i w:val="false"/>
          <w:iCs w:val="false"/>
        </w:rPr>
        <w:t xml:space="preserve">20.7σ</w:t>
      </w:r>
      <w:r>
        <w:rPr>
          <w:rFonts w:ascii="Times New Roman" w:cs="Times New Roman" w:eastAsia="SimSun" w:hAnsi="Times New Roman"/>
        </w:rPr>
        <w:t xml:space="preserve">）小一个多数量级。用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做主实验等于把一个二十倍的信号换成一个百分之二的残余；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主实验改为驱动分支结构的不对称</w:t>
      </w:r>
      <w:r>
        <w:rPr>
          <w:rFonts w:ascii="Times New Roman" w:cs="Times New Roman" w:eastAsia="SimSun" w:hAnsi="Times New Roman"/>
        </w:rPr>
        <w:t xml:space="preserve">（阶数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、双度序列不对称）——预跑确认这是破缺的实际来源，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不是；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  <w:b/>
          <w:bCs/>
        </w:rPr>
        <w:t xml:space="preserve"> 降为上界测量</w:t>
      </w:r>
      <w:r>
        <w:rPr>
          <w:rFonts w:ascii="Times New Roman" w:cs="Times New Roman" w:eastAsia="SimSun" w:hAnsi="Times New Roman"/>
        </w:rPr>
        <w:t xml:space="preserve">：在互换对称序列上扫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，报告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Π|</w:t>
      </w:r>
      <w:r>
        <w:rPr>
          <w:rFonts w:ascii="Times New Roman" w:cs="Times New Roman" w:eastAsia="SimSun" w:hAnsi="Times New Roman"/>
        </w:rPr>
        <w:t xml:space="preserve"> 的置信上界。这是一个有内容的负面结果——它说明宇称分类只给候选集合，不能预测哪一个真正起作用；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同时报告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残余不对称</w:t>
      </w:r>
      <w:r>
        <w:rPr>
          <w:rFonts w:ascii="Times New Roman" w:cs="Times New Roman" w:eastAsia="SimSun" w:hAnsi="Times New Roman"/>
        </w:rPr>
        <w:t xml:space="preserve">（预跑测得约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，源于超边级激活破坏命题 2 的假设 (ii)）——它不是零，须作为已知系统项与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的破缺幅度并列；</w:t>
      </w:r>
      <w:r>
        <w:rPr>
          <w:rFonts w:ascii="Times New Roman" w:cs="Times New Roman" w:eastAsia="SimSun" w:hAnsi="Times New Roman"/>
          <w:b/>
          <w:bCs/>
        </w:rPr>
        <w:t xml:space="preserve">补偿关系须按全期望公式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⟩=Π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̄+(1-Π)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  <w:b/>
          <w:bCs/>
        </w:rPr>
        <w:t xml:space="preserve"> 逐项核算</w:t>
      </w:r>
      <w:r>
        <w:rPr>
          <w:rFonts w:ascii="Times New Roman" w:cs="Times New Roman" w:eastAsia="SimSun" w:hAnsi="Times New Roman"/>
        </w:rPr>
        <w:t xml:space="preserve">——预跑实测自限爆发项在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处占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47%，简化成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 会在最需要它的阈值邻域失效；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作为阴性对照：在同一设定下扫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，验证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不破缺——</w:t>
      </w:r>
      <w:r>
        <w:rPr>
          <w:rFonts w:ascii="Times New Roman" w:cs="Times New Roman" w:eastAsia="SimSun" w:hAnsi="Times New Roman"/>
          <w:b/>
          <w:bCs/>
        </w:rPr>
        <w:t xml:space="preserve">注意对照必须做在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  <w:b/>
          <w:bCs/>
        </w:rPr>
        <w:t xml:space="preserve"> 上，做在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⟨</w:t>
      </w: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  <w:b/>
          <w:bCs/>
        </w:rPr>
        <w:t xml:space="preserve"> 上则毫无信息量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设计简化（预跑确认）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-偶的，成对 H-vs-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H 比较不受其漂移干扰，故不需要钉住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Cambria Math" w:eastAsia="SimSun" w:hAnsi="Cambria Math"/>
          <w:b/>
          <w:bCs/>
          <w:i/>
          <w:iCs/>
        </w:rPr>
        <w:t xml:space="preserve">S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：阈值邻域用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</w:rPr>
        <w:t xml:space="preserve">=0.02</w:t>
      </w:r>
      <w:r>
        <w:rPr>
          <w:rFonts w:ascii="Times New Roman" w:cs="Times New Roman" w:eastAsia="SimSun" w:hAnsi="Times New Roman"/>
        </w:rPr>
        <w:t xml:space="preserve"> 已足够干净（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</w:t>
      </w:r>
      <w:r>
        <w:rPr>
          <w:rFonts w:ascii="Times New Roman" w:cs="Times New Roman" w:eastAsia="SimSun" w:hAnsi="Times New Roman"/>
        </w:rPr>
        <w:t xml:space="preserve"> 预跑），深超临界区双峰间隙才变脏；生产运行仍建议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≥10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3</w:t>
      </w:r>
      <w:r>
        <w:rPr>
          <w:rFonts w:ascii="Times New Roman" w:cs="Times New Roman" w:eastAsia="SimSun" w:hAnsi="Times New Roman"/>
        </w:rPr>
        <w:t xml:space="preserve"> 并报告对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的敏感性；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D 的后向张量算子定义（宇称即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下的不变性）。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5 周　C5：μ→0 桥接 + C3 配套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从 III.2 与 IV.2 的自洽方程分别取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，逐项对照证明同构；</w:t>
      </w:r>
      <w:r>
        <w:rPr>
          <w:rFonts w:ascii="Times New Roman" w:cs="Times New Roman" w:eastAsia="SimSun" w:hAnsi="Times New Roman"/>
          <w:b/>
          <w:bCs/>
        </w:rPr>
        <w:t xml:space="preserve">端点已数值验证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 w:val="false"/>
          <w:iCs w:val="false"/>
        </w:rPr>
        <w:t xml:space="preserve">λ=500</w:t>
      </w:r>
      <w:r>
        <w:rPr>
          <w:rFonts w:ascii="Times New Roman" w:cs="Times New Roman" w:eastAsia="SimSun" w:hAnsi="Times New Roman"/>
        </w:rPr>
        <w:t xml:space="preserve"> 时 Gillespie 终态与确定性可达集逐种子完全一致（150 个种子最大偏差 0.0000，见 </w:t>
      </w:r>
      <w:r>
        <w:rPr>
          <w:rFonts w:ascii="Consolas" w:eastAsia="SimSun" w:hAnsi="Consolas"/>
        </w:rPr>
        <w:t xml:space="preserve">tools/feasibility_check.py</w:t>
      </w:r>
      <w:r>
        <w:rPr>
          <w:rFonts w:ascii="Times New Roman" w:cs="Times New Roman" w:eastAsia="SimSun" w:hAnsi="Times New Roman"/>
        </w:rPr>
        <w:t xml:space="preserve">），两方法的共同极限存在且已知；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数值验证两方法阈值一致（这是 VI.3 的图）；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接入外部均匀采样器</w:t>
      </w:r>
      <w:r>
        <w:rPr>
          <w:rFonts w:ascii="Times New Roman" w:cs="Times New Roman" w:eastAsia="SimSun" w:hAnsi="Times New Roman"/>
        </w:rPr>
        <w:t xml:space="preserve">（[kraakman2026sampling] / [abuissa2026dinghy]）作为零模型基线——我们自己的有偏链不能当零模型；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实现混杂审计面板：沿每条扫描线报告未靶向的重叠通道、超边级聚类、高阶互惠性、连通分支规模。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6–7 周　全部结果图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VI.1 阈值对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/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的依赖；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VI.2 破缺相图（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为主轴）+ 阴性对照；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VI.3 两方法交叉验证；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附录 A/B/C 推导（异质阈值 PGF 求平均、剂量核、非指数康复）。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8 周　真实数据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见 §4——数据集需要先定。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第 9–10 周　整合与投稿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正文整合、摘要、图集定稿；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投稿前重跑一次 cite-verify 与全库检索</w:t>
      </w:r>
      <w:r>
        <w:rPr>
          <w:rFonts w:ascii="Times New Roman" w:cs="Times New Roman" w:eastAsia="SimSun" w:hAnsi="Times New Roman"/>
        </w:rPr>
        <w:t xml:space="preserve">（近半年会有新预印本，这次已经吃过一次亏）；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参考文献压缩：现有 59 条中，11 条严格化文献可压成一句或删除。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与大纲 R.2 的差异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大纲 R.2 原顺序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现在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 μ→0 桥接 + 两方法定位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降到第 5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定位文字已在 Part I 完成；桥接依赖第 2 周的两套方程，不能最先做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 EBCM 手推 + Gillespie 校验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拆开：Gillespie 提到第 1 周，手推留第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Gillespie 是均场/边基对照的前置件，而那个对照是 C1 的立身之本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 渗流 PGF + 双声明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2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与方程侧无依赖，可并行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 附录推导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并入第 6–7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不在关键路径上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 α 定义 + 工具2 + 数据 + 图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α 定义已完成；工具 2 提到第 3 周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定义不再是阻塞项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（无）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新增</w:t>
            </w:r>
            <w:r>
              <w:rPr>
                <w:rFonts w:ascii="Times New Roman" w:cs="Times New Roman" w:eastAsia="SimSun" w:hAnsi="Times New Roman"/>
              </w:rPr>
              <w:t xml:space="preserve">：均场基线对照、外部采样器接入、混杂审计面板、破缺阴性对照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均为 v2 收窄后的必需配套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唯一仍然开放的事项：真实数据（大纲 1.1）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这是现在唯一还需要你/老师定的东西。</w:t>
      </w:r>
      <w:r>
        <w:rPr>
          <w:rFonts w:ascii="Times New Roman" w:cs="Times New Roman" w:eastAsia="SimSun" w:hAnsi="Times New Roman"/>
          <w:b/>
          <w:bCs/>
        </w:rPr>
        <w:t xml:space="preserve">建议直接用 [lotito2026directed] 的三个数据集</w:t>
      </w:r>
      <w:r>
        <w:rPr>
          <w:rFonts w:ascii="Times New Roman" w:cs="Times New Roman" w:eastAsia="SimSun" w:hAnsi="Times New Roman"/>
        </w:rPr>
        <w:t xml:space="preserve">：比特币交易、代谢网络、引用数据。理由：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它们本来就是有向超图，无需自己构造方向；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该文已在其上报告了指纹、高阶互惠性、motif 的测量值，</w:t>
      </w:r>
      <w:r>
        <w:rPr>
          <w:rFonts w:ascii="Times New Roman" w:cs="Times New Roman" w:eastAsia="SimSun" w:hAnsi="Times New Roman"/>
          <w:b/>
          <w:bCs/>
        </w:rPr>
        <w:t xml:space="preserve">我们的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（同为 strong 互惠档）可以直接与其报告值并列</w:t>
      </w:r>
      <w:r>
        <w:rPr>
          <w:rFonts w:ascii="Times New Roman" w:cs="Times New Roman" w:eastAsia="SimSun" w:hAnsi="Times New Roman"/>
        </w:rPr>
        <w:t xml:space="preserve">，不必自证测量口径可比；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代谢网络还与 [klamt2009] 的化学反应超图传统衔接，物理刊读者熟悉。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若采用，第 8 周的工作是：测其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、四通道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，用实测结构跑模型，并与均匀零模型对照。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风险台账（更新）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编号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风险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处置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保度重连生成器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现另作破缺实验的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阴性对照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定义与解析入口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onsolas" w:eastAsia="SimSun" w:hAnsi="Consolas"/>
              </w:rPr>
              <w:t xml:space="preserve">alpha-definition.md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目标期刊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已关闭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物理刊，短工期路线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5.x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两方法叙事定位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已完成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Part I v2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k-core 双声明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待写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3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按新手柄实现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工具3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4 周，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按新设计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B.3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EBCM 校验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1–2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2.1′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μ→0 桥接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边基相对均场的增益可能不显著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🟡 预跑已解除大半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预跑（</w:t>
            </w:r>
            <w:r>
              <w:rPr>
                <w:rFonts w:ascii="Consolas" w:eastAsia="SimSun" w:hAnsi="Consolas"/>
              </w:rPr>
              <w:t xml:space="preserve">tools/feasibility_check.py</w:t>
            </w:r>
            <w:r>
              <w:rPr>
                <w:rFonts w:ascii="Times New Roman" w:cs="Times New Roman" w:eastAsia="SimSun" w:hAnsi="Times New Roman"/>
              </w:rPr>
              <w:t xml:space="preserve">）：超度均场对阈值邻域条件爆发规模的误差达 87–146%，且 N=150→300 不消失——改进空间充足。第 1 周仍按早停判据正式复测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破缺序参量选错（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 近乎不破缺）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已解决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改用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(Π,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̄)</w:t>
            </w:r>
            <w:r>
              <w:rPr>
                <w:rFonts w:ascii="Times New Roman" w:cs="Times New Roman" w:eastAsia="SimSun" w:hAnsi="Times New Roman"/>
              </w:rPr>
              <w:t xml:space="preserve">；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 的残余（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-2.24%±0.44%</w:t>
            </w:r>
            <w:r>
              <w:rPr>
                <w:rFonts w:ascii="Times New Roman" w:cs="Times New Roman" w:eastAsia="SimSun" w:hAnsi="Times New Roman"/>
              </w:rPr>
              <w:t xml:space="preserve">）另行报告为已知系统项。同协议对照：在互换对称序列（命题 1 适用）上残余为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-0.36%±0.28%</w:t>
            </w:r>
            <w:r>
              <w:rPr>
                <w:rFonts w:ascii="Times New Roman" w:cs="Times New Roman" w:eastAsia="SimSun" w:hAnsi="Times New Roman"/>
              </w:rPr>
              <w:t xml:space="preserve">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1.31σ</w:t>
            </w:r>
            <w:r>
              <w:rPr>
                <w:rFonts w:ascii="Times New Roman" w:cs="Times New Roman" w:eastAsia="SimSun" w:hAnsi="Times New Roman"/>
              </w:rPr>
              <w:t xml:space="preserve">，与零相容）；扣除该基线后仍有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-1.88%±0.52%</w:t>
            </w:r>
            <w:r>
              <w:rPr>
                <w:rFonts w:ascii="Times New Roman" w:cs="Times New Roman" w:eastAsia="SimSun" w:hAnsi="Times New Roman"/>
              </w:rPr>
              <w:t xml:space="preserve">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3.6σ</w:t>
            </w:r>
            <w:r>
              <w:rPr>
                <w:rFonts w:ascii="Times New Roman" w:cs="Times New Roman" w:eastAsia="SimSun" w:hAnsi="Times New Roman"/>
              </w:rPr>
              <w:t xml:space="preserve">），故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2%</w:t>
            </w:r>
            <w:r>
              <w:rPr>
                <w:rFonts w:ascii="Times New Roman" w:cs="Times New Roman" w:eastAsia="SimSun" w:hAnsi="Times New Roman"/>
              </w:rPr>
              <w:t xml:space="preserve"> 是物理效应而非采样器的 H/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H 不对称。生产运行须把该对照作为标准检查项一并报告。见 </w:t>
            </w:r>
            <w:r>
              <w:rPr>
                <w:rFonts w:ascii="Consolas" w:eastAsia="SimSun" w:hAnsi="Consolas"/>
              </w:rPr>
              <w:t xml:space="preserve">tools/breaking_observable.py</w:t>
            </w:r>
            <w:r>
              <w:rPr>
                <w:rFonts w:ascii="Times New Roman" w:cs="Times New Roman" w:eastAsia="SimSun" w:hAnsi="Times New Roman"/>
              </w:rPr>
              <w:t xml:space="preserve">、</w:t>
            </w:r>
            <w:r>
              <w:rPr>
                <w:rFonts w:ascii="Consolas" w:eastAsia="SimSun" w:hAnsi="Consolas"/>
              </w:rPr>
              <w:t xml:space="preserve">tools/prop2_hypothesis.py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驱动的破缺可能太弱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已定论：不驱动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阈值邻域、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=400</w:t>
            </w:r>
            <w:r>
              <w:rPr>
                <w:rFonts w:ascii="Times New Roman" w:cs="Times New Roman" w:eastAsia="SimSun" w:hAnsi="Times New Roman"/>
              </w:rPr>
              <w:t xml:space="preserve">、6 结构、系综误差棒：合并 0.25–0.58σ 且各结构符号随机。效应量标度检验（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=200</w:t>
            </w:r>
            <w:r>
              <w:rPr>
                <w:rFonts w:ascii="Times New Roman" w:cs="Times New Roman" w:eastAsia="SimSun" w:hAnsi="Times New Roman"/>
              </w:rPr>
              <w:t xml:space="preserve">、8 结构）：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从 0 增至 0.108，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</w:t>
            </w:r>
            <w:r>
              <w:rPr>
                <w:rFonts w:ascii="Cambria Math" w:eastAsia="SimSun" w:hAnsi="Cambria Math"/>
                <w:i/>
                <w:iCs/>
              </w:rPr>
              <w:t xml:space="preserve">d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Π⟩</w:t>
            </w:r>
            <w:r>
              <w:rPr>
                <w:rFonts w:ascii="Times New Roman" w:cs="Times New Roman" w:eastAsia="SimSun" w:hAnsi="Times New Roman"/>
              </w:rPr>
              <w:t xml:space="preserve"> 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完全平坦</w:t>
            </w:r>
            <w:r>
              <w:rPr>
                <w:rFonts w:ascii="Times New Roman" w:cs="Times New Roman" w:eastAsia="SimSun" w:hAnsi="Times New Roman"/>
              </w:rPr>
              <w:t xml:space="preserve">（−0.0025→−0.0017）。同协议阳性对照（阶数不对称）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18σ</w:t>
            </w:r>
            <w:r>
              <w:rPr>
                <w:rFonts w:ascii="Times New Roman" w:cs="Times New Roman" w:eastAsia="SimSun" w:hAnsi="Times New Roman"/>
              </w:rPr>
              <w:t xml:space="preserve">。结论：破缺由分支结构不对称驱动，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 给上界。见 </w:t>
            </w:r>
            <w:r>
              <w:rPr>
                <w:rFonts w:ascii="Consolas" w:eastAsia="SimSun" w:hAnsi="Consolas"/>
              </w:rPr>
              <w:t xml:space="preserve">tools/delta_alpha_scaling.py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混杂审计可能显示未靶向量漂移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⬜ 待做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第 5 周；若越界须与结论一并讨论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真实数据集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⚠️ 待定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建议 [lotito2026directed] 三数据集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G-4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工期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✅ 本文档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约 10 周</w:t>
            </w:r>
          </w:p>
        </w:tc>
      </w:tr>
    </w:tbl>
    <w:p>
      <w:pPr>
        <w:spacing w:after="160"/>
      </w:pP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6. 一句话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原计划把推导排在最前，但收窄后 C1 的价值系于一个</w:t>
      </w:r>
      <w:r>
        <w:rPr>
          <w:rFonts w:ascii="Times New Roman" w:cs="Times New Roman" w:eastAsia="SimSun" w:hAnsi="Times New Roman"/>
          <w:b/>
          <w:bCs/>
        </w:rPr>
        <w:t xml:space="preserve">实验</w:t>
      </w:r>
      <w:r>
        <w:rPr>
          <w:rFonts w:ascii="Times New Roman" w:cs="Times New Roman" w:eastAsia="SimSun" w:hAnsi="Times New Roman"/>
        </w:rPr>
        <w:t xml:space="preserve">（边基 vs 均场），而不是推导本身。所以新计划把那个实验提到第 1 周，并给它一个早停判据——</w:t>
      </w:r>
      <w:r>
        <w:rPr>
          <w:rFonts w:ascii="Times New Roman" w:cs="Times New Roman" w:eastAsia="SimSun" w:hAnsi="Times New Roman"/>
          <w:b/>
          <w:bCs/>
        </w:rPr>
        <w:t xml:space="preserve">如果它不成立，越早知道越好。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2026-08-09T11:20:42.358Z</dcterms:created>
  <dcterms:modified xsi:type="dcterms:W3CDTF">2026-08-09T11:20:42.358Z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