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[6, 7]；引入尾/头之分后，共享节点在两条超边中各自扮演的角色也成为信息。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[7]；本文只是在其每个矩阵元上再展开出四个方向通道。同质阶数下阶指标退化，以下略去并简记为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[9]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这一违背是真实的而非可忽略的。第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的翻转残余不对称约为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）。该残余不是仿真器本身对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的处理不对称：在互换对称的双度序列上——命题 1 直接禁止破缺——同一协议给出的残余为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，与零相容；即便保守地把它当作仪器基线扣除，剩余部分仍有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）。它是超边级激活特有的效应：成对情形与线性核下均不存在。因此命题 2 对本文主线是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[9]，大爆发的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2026-08-09T11:20:42.122Z</dcterms:created>
  <dcterms:modified xsi:type="dcterms:W3CDTF">2026-08-09T11:20:42.122Z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