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方向对称性破缺的分析给出两个与直觉相反的结果。其一，平均爆发规模是错误的序参量：只要终态可表示为随机结构上的可达性，可达有序对的总数在方向翻转下逐实现守恒，故均匀单种子下的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有向超图都保持不变，无论其结构多么不对称。破缺出现在这些可达对如何分配——大爆发的概率由巨入分支决定、爆发的终态规模由巨出分支决定，而翻转恰好交换二者 [5]。我们因而以爆发概率与条件爆发规模为序参量；二者若破缺必然反向、且乘积保持守恒——这一补偿关系本身即是一项可证伪的预言。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。二者的实际作用截然不同：前者驱动的破缺在爆发概率上是数十个标准差的效应，而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尽管同样翻转奇，其效应在同一协议下随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需要强调这只是必要条件，而且远非充分。宇称分类指出哪些量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驱动破缺，却不指出哪一个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驱动——后者是动力学问题。第 VI 节的结论是二者分野明显：破缺由分支结构的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-奇部分（阶数不对称、双度序列不对称）驱动，而重叠极性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-奇，其效应在同一测量协议下不可分辨。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但必要条件被满足并不意味着破缺可以在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上被看到。事实上存在一条更强的不变性，它与系综是否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设终态可表示为某个随机结构上的可达性——即从种子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证明同样只需一次计数：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把可达关系转置，可达有序对的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。它在任何结构上都对称，与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是否为零无关。第 VI 节的数值确认了这一点：即便在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为区分自限爆发与大爆发的阈值。命题 2 同时给出一条可证伪的预言：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⟩≃Π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在翻转下守恒，故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若破缺必反向、相互补偿</w:t>
      </w:r>
      <w:r>
        <w:rPr>
          <w:rFonts w:ascii="Times New Roman" w:cs="Times New Roman" w:eastAsia="SimSun" w:hAnsi="Times New Roman"/>
        </w:rPr>
        <w:t xml:space="preserve">。第 VI 节将检验这一补偿关系。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在此基础上，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的角色是一个可直接检验的推论：它不能单独产生破缺。设双度序列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；主实验驱动分支结构的不对称（阶数与双度序列），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的不变性分别作为阴性对照与内部一致性检查。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2026-08-09T06:15:16.165Z</dcterms:created>
  <dcterms:modified xsi:type="dcterms:W3CDTF">2026-08-09T06:15:16.177Z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