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2.9%（−3.5σ）。为把窗口退到安全区间，本节的拟合区比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(3.4) 与水平线之比的解析值为 2.201，两者仅差 2.4%。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独立测得的比值与独立推出的解析比值就此相互印证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65σ，而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b0f76a257a1042f74dade53f05d861d7508fa2.png"/><Relationship Id="rId8" Type="http://schemas.openxmlformats.org/officeDocument/2006/relationships/image" Target="media/1c9f64b9109f4014a300015931616b2827ad0e27.png"/><Relationship Id="rId9" Type="http://schemas.openxmlformats.org/officeDocument/2006/relationships/image" Target="media/12938404335e5de321e5a4db50570b89135a669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2026-08-22T10:03:06.374Z</dcterms:created>
  <dcterms:modified xsi:type="dcterms:W3CDTF">2026-08-22T10:03:06.374Z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