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不可由保度重连调节（数值确认，变化恰为 0）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确认</w:t>
            </w:r>
            <w:r>
              <w:rPr>
                <w:rFonts w:ascii="Times New Roman" w:cs="Times New Roman" w:eastAsia="SimSun" w:hAnsi="Times New Roman"/>
              </w:rPr>
              <w:t xml:space="preserve">大纲把 V.3（标签置换调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）与 V.2/V.4（重连调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）分开是对的，二者不可合并；第 3 周实现时须保持这一分工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序参量必须取爆发概率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与条件爆发规模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  <w:b/>
          <w:bCs/>
        </w:rPr>
        <w:t xml:space="preserve">，不能取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——命题 2 说明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在逐对独立传播下对任意结构不变；超边级激活破坏其假设 (ii)，预跑测得残余约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5.05σ</w:t>
      </w:r>
      <w:r>
        <w:rPr>
          <w:rFonts w:ascii="Times New Roman" w:cs="Times New Roman" w:eastAsia="SimSun" w:hAnsi="Times New Roman"/>
        </w:rPr>
        <w:t xml:space="preserve">），仍比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的破缺幅度（</w:t>
      </w:r>
      <w:r>
        <w:rPr>
          <w:rFonts w:ascii="Cambria Math" w:eastAsia="SimSun" w:hAnsi="Cambria Math"/>
          <w:i w:val="false"/>
          <w:iCs w:val="false"/>
        </w:rPr>
        <w:t xml:space="preserve">20.7σ</w:t>
      </w:r>
      <w:r>
        <w:rPr>
          <w:rFonts w:ascii="Times New Roman" w:cs="Times New Roman" w:eastAsia="SimSun" w:hAnsi="Times New Roman"/>
        </w:rPr>
        <w:t xml:space="preserve">）小一个多数量级。用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做主实验等于把一个二十倍的信号换成一个百分之二的残余；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主实验改为驱动分支结构的不对称</w:t>
      </w:r>
      <w:r>
        <w:rPr>
          <w:rFonts w:ascii="Times New Roman" w:cs="Times New Roman" w:eastAsia="SimSun" w:hAnsi="Times New Roman"/>
        </w:rPr>
        <w:t xml:space="preserve">（阶数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、双度序列不对称）——预跑确认这是破缺的实际来源，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不是；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  <w:b/>
          <w:bCs/>
        </w:rPr>
        <w:t xml:space="preserve"> 降为上界测量</w:t>
      </w:r>
      <w:r>
        <w:rPr>
          <w:rFonts w:ascii="Times New Roman" w:cs="Times New Roman" w:eastAsia="SimSun" w:hAnsi="Times New Roman"/>
        </w:rPr>
        <w:t xml:space="preserve">：在互换对称序列上扫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，报告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Π|</w:t>
      </w:r>
      <w:r>
        <w:rPr>
          <w:rFonts w:ascii="Times New Roman" w:cs="Times New Roman" w:eastAsia="SimSun" w:hAnsi="Times New Roman"/>
        </w:rPr>
        <w:t xml:space="preserve"> 的置信上界。这是一个有内容的负面结果——它说明宇称分类只给候选集合，不能预测哪一个真正起作用；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同时报告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残余不对称</w:t>
      </w:r>
      <w:r>
        <w:rPr>
          <w:rFonts w:ascii="Times New Roman" w:cs="Times New Roman" w:eastAsia="SimSun" w:hAnsi="Times New Roman"/>
        </w:rPr>
        <w:t xml:space="preserve">（预跑测得约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，源于超边级激活破坏命题 2 的假设 (ii)）——它不是零，须作为已知系统项与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的破缺幅度并列；</w:t>
      </w:r>
      <w:r>
        <w:rPr>
          <w:rFonts w:ascii="Times New Roman" w:cs="Times New Roman" w:eastAsia="SimSun" w:hAnsi="Times New Roman"/>
          <w:b/>
          <w:bCs/>
        </w:rPr>
        <w:t xml:space="preserve">补偿关系须按全期望公式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⟩=Π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̄+(1-Π)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  <w:b/>
          <w:bCs/>
        </w:rPr>
        <w:t xml:space="preserve"> 逐项核算</w:t>
      </w:r>
      <w:r>
        <w:rPr>
          <w:rFonts w:ascii="Times New Roman" w:cs="Times New Roman" w:eastAsia="SimSun" w:hAnsi="Times New Roman"/>
        </w:rPr>
        <w:t xml:space="preserve">——预跑实测自限爆发项在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47%，简化成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会在最需要它的阈值邻域失效；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不破缺——</w:t>
      </w:r>
      <w:r>
        <w:rPr>
          <w:rFonts w:ascii="Times New Roman" w:cs="Times New Roman" w:eastAsia="SimSun" w:hAnsi="Times New Roman"/>
          <w:b/>
          <w:bCs/>
        </w:rPr>
        <w:t xml:space="preserve">注意对照必须做在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上，做在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  <w:b/>
          <w:bCs/>
        </w:rPr>
        <w:t xml:space="preserve"> 上则毫无信息量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设计简化（预跑确认）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-偶的，成对 H-vs-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H 比较不受其漂移干扰，故不需要钉住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：阈值邻域用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</w:rPr>
        <w:t xml:space="preserve">=0.02</w:t>
      </w:r>
      <w:r>
        <w:rPr>
          <w:rFonts w:ascii="Times New Roman" w:cs="Times New Roman" w:eastAsia="SimSun" w:hAnsi="Times New Roman"/>
        </w:rPr>
        <w:t xml:space="preserve"> 已足够干净（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</w:t>
      </w:r>
      <w:r>
        <w:rPr>
          <w:rFonts w:ascii="Times New Roman" w:cs="Times New Roman" w:eastAsia="SimSun" w:hAnsi="Times New Roman"/>
        </w:rPr>
        <w:t xml:space="preserve"> 预跑），深超临界区双峰间隙才变脏；生产运行仍建议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≥10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3</w:t>
      </w:r>
      <w:r>
        <w:rPr>
          <w:rFonts w:ascii="Times New Roman" w:cs="Times New Roman" w:eastAsia="SimSun" w:hAnsi="Times New Roman"/>
        </w:rPr>
        <w:t xml:space="preserve"> 并报告对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的敏感性；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  <w:r>
        <w:rPr>
          <w:rFonts w:ascii="Times New Roman" w:cs="Times New Roman" w:eastAsia="SimSun" w:hAnsi="Times New Roman"/>
          <w:b/>
          <w:bCs/>
        </w:rPr>
        <w:t xml:space="preserve">端点已数值验证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λ=500</w:t>
      </w:r>
      <w:r>
        <w:rPr>
          <w:rFonts w:ascii="Times New Roman" w:cs="Times New Roman" w:eastAsia="SimSun" w:hAnsi="Times New Roman"/>
        </w:rPr>
        <w:t xml:space="preserve"> 时 Gillespie 终态与确定性可达集逐种子完全一致（150 个种子最大偏差 0.0000，见 </w:t>
      </w:r>
      <w:r>
        <w:rPr>
          <w:rFonts w:ascii="Consolas" w:eastAsia="SimSun" w:hAnsi="Consolas"/>
        </w:rPr>
        <w:t xml:space="preserve">tools/feasibility_check.py</w:t>
      </w:r>
      <w:r>
        <w:rPr>
          <w:rFonts w:ascii="Times New Roman" w:cs="Times New Roman" w:eastAsia="SimSun" w:hAnsi="Times New Roman"/>
        </w:rPr>
        <w:t xml:space="preserve">），两方法的共同极限存在且已知；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预跑已解除大半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预跑（</w:t>
            </w:r>
            <w:r>
              <w:rPr>
                <w:rFonts w:ascii="Consolas" w:eastAsia="SimSun" w:hAnsi="Consolas"/>
              </w:rPr>
              <w:t xml:space="preserve">tools/feasibility_check.py</w:t>
            </w:r>
            <w:r>
              <w:rPr>
                <w:rFonts w:ascii="Times New Roman" w:cs="Times New Roman" w:eastAsia="SimSun" w:hAnsi="Times New Roman"/>
              </w:rPr>
              <w:t xml:space="preserve">）：超度均场对阈值邻域条件爆发规模的误差达 87–146%，且 N=150→300 不消失——改进空间充足。第 1 周仍按早停判据正式复测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破缺序参量选错（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近乎不破缺）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已解决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(Π,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̄)</w:t>
            </w:r>
            <w:r>
              <w:rPr>
                <w:rFonts w:ascii="Times New Roman" w:cs="Times New Roman" w:eastAsia="SimSun" w:hAnsi="Times New Roman"/>
              </w:rPr>
              <w:t xml:space="preserve">；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的残余（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-2.24%±0.44%</w:t>
            </w:r>
            <w:r>
              <w:rPr>
                <w:rFonts w:ascii="Times New Roman" w:cs="Times New Roman" w:eastAsia="SimSun" w:hAnsi="Times New Roman"/>
              </w:rPr>
              <w:t xml:space="preserve">）另行报告为已知系统项。同协议对照：在互换对称序列（命题 1 适用）上残余为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-0.36%±0.28%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1.31σ</w:t>
            </w:r>
            <w:r>
              <w:rPr>
                <w:rFonts w:ascii="Times New Roman" w:cs="Times New Roman" w:eastAsia="SimSun" w:hAnsi="Times New Roman"/>
              </w:rPr>
              <w:t xml:space="preserve">，与零相容）；扣除该基线后仍有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-1.88%±0.52%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3.6σ</w:t>
            </w:r>
            <w:r>
              <w:rPr>
                <w:rFonts w:ascii="Times New Roman" w:cs="Times New Roman" w:eastAsia="SimSun" w:hAnsi="Times New Roman"/>
              </w:rPr>
              <w:t xml:space="preserve">），故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2%</w:t>
            </w:r>
            <w:r>
              <w:rPr>
                <w:rFonts w:ascii="Times New Roman" w:cs="Times New Roman" w:eastAsia="SimSun" w:hAnsi="Times New Roman"/>
              </w:rPr>
              <w:t xml:space="preserve"> 是物理效应而非采样器的 H/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H 不对称。生产运行须把该对照作为标准检查项一并报告。见 </w:t>
            </w:r>
            <w:r>
              <w:rPr>
                <w:rFonts w:ascii="Consolas" w:eastAsia="SimSun" w:hAnsi="Consolas"/>
              </w:rPr>
              <w:t xml:space="preserve">tools/breaking_observable.py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onsolas" w:eastAsia="SimSun" w:hAnsi="Consolas"/>
              </w:rPr>
              <w:t xml:space="preserve">tools/prop2_hypothesis.py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驱动的破缺可能太弱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已定论：不驱动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阈值邻域、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=400</w:t>
            </w:r>
            <w:r>
              <w:rPr>
                <w:rFonts w:ascii="Times New Roman" w:cs="Times New Roman" w:eastAsia="SimSun" w:hAnsi="Times New Roman"/>
              </w:rPr>
              <w:t xml:space="preserve">、6 结构、系综误差棒：合并 0.25–0.58σ 且各结构符号随机。效应量标度检验（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=200</w:t>
            </w:r>
            <w:r>
              <w:rPr>
                <w:rFonts w:ascii="Times New Roman" w:cs="Times New Roman" w:eastAsia="SimSun" w:hAnsi="Times New Roman"/>
              </w:rPr>
              <w:t xml:space="preserve">、8 结构）：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从 0 增至 0.108，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d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Π⟩</w:t>
            </w:r>
            <w:r>
              <w:rPr>
                <w:rFonts w:ascii="Times New Roman" w:cs="Times New Roman" w:eastAsia="SimSun" w:hAnsi="Times New Roman"/>
              </w:rPr>
              <w:t xml:space="preserve">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完全平坦</w:t>
            </w:r>
            <w:r>
              <w:rPr>
                <w:rFonts w:ascii="Times New Roman" w:cs="Times New Roman" w:eastAsia="SimSun" w:hAnsi="Times New Roman"/>
              </w:rPr>
              <w:t xml:space="preserve">（−0.0025→−0.0017）。同协议阳性对照（阶数不对称）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18σ</w:t>
            </w:r>
            <w:r>
              <w:rPr>
                <w:rFonts w:ascii="Times New Roman" w:cs="Times New Roman" w:eastAsia="SimSun" w:hAnsi="Times New Roman"/>
              </w:rPr>
              <w:t xml:space="preserve">。结论：破缺由分支结构不对称驱动，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给上界。见 </w:t>
            </w:r>
            <w:r>
              <w:rPr>
                <w:rFonts w:ascii="Consolas" w:eastAsia="SimSun" w:hAnsi="Consolas"/>
              </w:rPr>
              <w:t xml:space="preserve">tools/delta_alpha_scaling.py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2026-08-09T11:12:54.216Z</dcterms:created>
  <dcterms:modified xsi:type="dcterms:W3CDTF">2026-08-09T11:12:54.216Z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