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传播的理论已沿两条彼此独立的路径发展成熟。终态一侧由渗流承担：任意度分布随机图的连通结构可由生成函数方法解析给出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[3]。由此立即可见度分布异质性的作用：临界占据概率为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，二阶矩发散时阈值趋于零；无标度网络上的 SIS 模型给出过同一结论 [4]。Kenah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方向性作为接触网络本身的属性也早已被处理，且入出度相关从一开始就是其中的关键量。有向随机图各巨分支的规模由入出度联合分布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决定；当该分布不可分解——即入度与出度相关时——巨强连通分支的规模会偏离巨入分支与巨出分支规模之积 [10]。在任意两点度相关与双向边同时存在的一般情形下，有向渗流的阈值与各巨分支规模已可解析求出 [11]，这套机制并已直接用于有向接触网络上的流行预测 [12]。入出度相关对动力学的影响亦有直接证据：在有向网络上的阈值型传播中，正的入出度相关在较宽的平均入度范围内提高系统稳健性，负相关则相反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[17]。单纯复形上的高阶影响与强化机制可诱导不连续相变，并出现健康态与流行态共存的双稳区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（二者不相交），这一结构在算法与运筹领域已使用三十余年 [32]。代谢与化学反应把一组底物转化为一组产物，是其典型实例 [33]；比特币交易与引用数据亦已按有向超图分析 [34]。针对有向超图的结构刻画工具近年迅速成型：真实数据的微观组织、高阶互惠性与 motif 已被系统刻画 [34, 35]；无向超图中超边重叠的测度与生成器已给出 [36]，位形模型与保度随机化亦有成熟实现 [37, 38]；而保入出度序列的均匀采样与非退化零模型在有向超图上也已可用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[41]。该工作采用均场闭合，不涉及渗流，其方向性由单一标量强度参数调节。均场忽略邻域相关，误差在阈值邻域最大；在成对网络上，正是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[42] 在阈值邻域校验，从而定量给出边基闭合相对均场的增益。渗流一侧，我们把成对网络上的 SIR–渗流映射及其半有向修正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[34]。两个结构参数在生成流程的不同环节起作用。入出度相关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是双度序列的函数，故在构造该序列的阶段设定（保持两条边际度序列不变，重新配置入度与出度在节点上的配对）；重叠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则在序列固定之后，由严格保持逐节点入出度的定向重排调节。二者因而可以独立扫描，互不牵动。零模型基线取自已有的均匀采样器 [39, 40]。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方向对称性破缺的分析给出两个与直觉相反的结果。其一，平均爆发规模是极差的序参量。若终态可表示为某个种子无关的随机结构上的可达性，则可达有序对的总数在方向翻转下逐实现守恒，均匀单种子下的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因而对</w:t>
      </w:r>
      <w:r>
        <w:rPr>
          <w:rFonts w:ascii="Times New Roman" w:cs="Times New Roman" w:eastAsia="SimSun" w:hAnsi="Times New Roman"/>
          <w:b/>
          <w:bCs/>
        </w:rPr>
        <w:t xml:space="preserve">任意</w:t>
      </w:r>
      <w:r>
        <w:rPr>
          <w:rFonts w:ascii="Times New Roman" w:cs="Times New Roman" w:eastAsia="SimSun" w:hAnsi="Times New Roman"/>
        </w:rPr>
        <w:t xml:space="preserve">有向超图保持不变，无论其结构多么不对称；这一表示对逐对独立传播严格成立。超边级激活使各头成员共享同一激活区间，破坏该表示，留下约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的残余不对称——但这仍比爆发概率的破缺幅度小一个多数量级。破缺出现在这些可达对如何分配——大爆发的概率由巨入分支决定、爆发的终态规模由巨出分支决定，而翻转恰好交换二者 [5]。我们因而以爆发概率与条件爆发规模为序参量；二者若破缺则必反向，其组合须把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补偿至上述残余以内——这一补偿关系本身即是一项可证伪的预言。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其二，翻转奇是破缺的必要条件，却远非充分条件。本文所用结构量中翻转奇的来源只有两个：双度序列关于入/出分量互换的不对称性，以及共发重叠与共收重叠之差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。二者的实际作用截然不同：前者驱动的破缺在爆发概率上是数十个标准差的效应，而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尽管同样翻转奇，其效应在同一协议下随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增大始终不可分辨，我们只能给出上界。破缺因而由分支结构的不对称驱动，而非由重叠的极性驱动——宇称分类能划出候选集合，选出其中哪一个起作用则是动力学问题。作为阴性对照，入出度相关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在翻转下是偶的（翻转互换每个节点的入度与出度，而相关系数对其两个变量对称），故单独调节它不可能产生破缺，尽管它确实移动阈值。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时，激活规则不再是单条超边的独立事件，模型转而落入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型渗流，其相变结构不同于普通渗流——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的出现是混合型相变 [43]，bootstrap 渗流则可能同时存在一个连续阈值与一个更高的混合型阈值，且后者在二阶矩发散时消失 [44]；高阶渗流与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渗流之间的联系在多重超图上已被建立 [45]。本文对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动力学的定义、有向超边重叠的可计算形式，以及结构量在方向翻转下的宇称分类。第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II. 模型与结构量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有向超图与记号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有向超图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由节点集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）与超边集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）构成。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为集合，即不含重复超边；第 V 节的生成器在配对后显式修复重复超边与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相交的违规。每条超边是一个有序对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)⊆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)=∅</w:t>
      </w:r>
      <w:r>
        <w:rPr>
          <w:rFonts w:ascii="Cambria Math" w:eastAsia="SimSun" w:hAnsi="Cambria Math"/>
          <w:sz w:val="21"/>
          <w:szCs w:val="21"/>
        </w:rPr>
        <w:t xml:space="preserve">	(1)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其中尾集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为施加影响的一方，头集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为接受影响的一方。二者不相交，这既排除了自作用，也是后文重叠退化关系 (11) 成立的前提。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主线取同质阶数，即对所有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有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)|=η</w:t>
      </w:r>
      <w:r>
        <w:rPr>
          <w:rFonts w:ascii="Times New Roman" w:cs="Times New Roman" w:eastAsia="SimSun" w:hAnsi="Times New Roman"/>
        </w:rPr>
        <w:t xml:space="preserve">；异质阶数的推广见附录。</w:t>
      </w:r>
      <w:r>
        <w:rPr>
          <w:rFonts w:ascii="Cambria Math" w:eastAsia="SimSun" w:hAnsi="Cambria Math"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退化为普通有向图；取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为超边的支撑集则退化为无向超图。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节点的出度与入度分别计其作为尾成员与头成员的次数，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sz w:val="21"/>
          <w:szCs w:val="21"/>
        </w:rPr>
        <w:t xml:space="preserve">	(2)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二者的联合分布记为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。逐边计数给出两条握手关系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)=τ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V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)=η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sz w:val="21"/>
          <w:szCs w:val="21"/>
        </w:rPr>
        <w:t xml:space="preserve">	(3)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因此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：尾集与头集基数不等时，两个平均度必然不等。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本文所用的随机系综为有向超图位形模型：给定双度序列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v∈ V</w:t>
      </w:r>
      <w:r>
        <w:rPr>
          <w:rFonts w:ascii="Times New Roman" w:cs="Times New Roman" w:eastAsia="SimSun" w:hAnsi="Times New Roman"/>
        </w:rPr>
        <w:t xml:space="preserve"> 与阶数 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，对全部尾槽与头槽做均匀随机配对，再修复违规超边；具体实现见第 V 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本文的第一个结构参数是入出度相关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⟩-⟨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在节点上的 Pearson 相关系数——刻画同一节点两个方向的度值关系，而非相连节点之间的度值相似性 [14]。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必须强调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是</w:t>
      </w:r>
      <w:r>
        <w:rPr>
          <w:rFonts w:ascii="Times New Roman" w:cs="Times New Roman" w:eastAsia="SimSun" w:hAnsi="Times New Roman"/>
          <w:b/>
          <w:bCs/>
        </w:rPr>
        <w:t xml:space="preserve">双度序列 </w:t>
      </w:r>
      <w:r>
        <w:rPr>
          <w:rFonts w:ascii="Cambria Math" w:eastAsia="SimSun" w:hAnsi="Cambria Math"/>
          <w:b/>
          <w:bCs/>
          <w:i/>
          <w:iCs/>
        </w:rPr>
        <w:t xml:space="preserve">d</w:t>
      </w:r>
      <w:r>
        <w:rPr>
          <w:rFonts w:ascii="Times New Roman" w:cs="Times New Roman" w:eastAsia="SimSun" w:hAnsi="Times New Roman"/>
          <w:b/>
          <w:bCs/>
        </w:rPr>
        <w:t xml:space="preserve"> 的函数</w:t>
      </w:r>
      <w:r>
        <w:rPr>
          <w:rFonts w:ascii="Times New Roman" w:cs="Times New Roman" w:eastAsia="SimSun" w:hAnsi="Times New Roman"/>
        </w:rPr>
        <w:t xml:space="preserve">，与超边如何连接无关。因此它由系综的输入决定，一经给定即不再随超边的重排而改变：调节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只能在构造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的阶段进行（在两条边际度序列固定的前提下重新配置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在节点上的配对），而下一节的重叠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则相反，它在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固定后由超边重排调节。两个结构参数因而作用在生成流程的不同环节，互不干扰——这一分离正是第 V 节两套工具的分工依据。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SIR 动力学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每个节点在任一时刻处于易感（S）、感染（I）、康复（R）三态之一。感染只沿尾→头方向传递：超边尾集中的感染成员驱动其头集中的易感节点，反向不发生传递。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记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)⊆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时刻的感染节点集，并令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</w:t>
      </w:r>
      <w:r>
        <w:rPr>
          <w:rFonts w:ascii="Cambria Math" w:eastAsia="SimSun" w:hAnsi="Cambria Math"/>
          <w:sz w:val="21"/>
          <w:szCs w:val="21"/>
        </w:rPr>
        <w:t xml:space="preserve">	(5)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尾集中已感染的成员数。超边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对其头集中每个尚处易感态的节点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施加的感染率取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(0)=0</w:t>
      </w:r>
      <w:r>
        <w:rPr>
          <w:rFonts w:ascii="Cambria Math" w:eastAsia="SimSun" w:hAnsi="Cambria Math"/>
          <w:sz w:val="21"/>
          <w:szCs w:val="21"/>
        </w:rPr>
        <w:t xml:space="preserve">	(6)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β&gt;0</w:t>
      </w:r>
      <w:r>
        <w:rPr>
          <w:rFonts w:ascii="Times New Roman" w:cs="Times New Roman" w:eastAsia="SimSun" w:hAnsi="Times New Roman"/>
        </w:rPr>
        <w:t xml:space="preserve"> 为传播强度，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为感染核。本文主线取群体阈值核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)=Θ(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-θ)=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≥θ; 0,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&lt;θ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尾集感染成员数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Times New Roman" w:cs="Times New Roman" w:eastAsia="SimSun" w:hAnsi="Times New Roman"/>
        </w:rPr>
        <w:t xml:space="preserve"> 时超边处于激活态，以恒定率向头集传递；成员康复使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 回落到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以下时超边失活。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对应简单传播，任一尾成员感染即足以激活超边；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则要求多个尾成员的联合状态，属于阈值型复杂传播 [21, 22]。两者的渗流对应物不同，将在第 IV 节分别处理。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阈值放在尾侧、且逐超边判定，是本文主线的机制选择。取线性核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可回收"每个感染尾成员独立传递"的情形；把阈值改放头侧、令头节点在跨超边累积的剂量超过阈值时被感染，则得到另一类机制，由附录的剂量核统一处理。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的总感染率是它所在全部头集的贡献之和，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e: u∈ H(e)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感染节点以恒定率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独立康复，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，康复后不再参与传递。以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归一时间尺度后，过程只依赖比值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λ≡β/μ</w:t>
      </w:r>
      <w:r>
        <w:rPr>
          <w:rFonts w:ascii="Cambria Math" w:eastAsia="SimSun" w:hAnsi="Cambria Math"/>
          <w:sz w:val="21"/>
          <w:szCs w:val="21"/>
        </w:rPr>
        <w:t xml:space="preserve">	(9)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故给定感染核后，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是唯一的连续动力学控制参数，爆发阈值指其临界值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；后文所称"阈值随结构参数变化"即指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对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等量的依赖。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 上的演化因而是连续时间 Markov 过程，可用 Gillespie 算法精确抽样 [42]——这是第 III 节数值校验的基础。非指数康复期分布的推广见附录。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初始条件需随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而变。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时取单个均匀随机选取的种子节点感染即可。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时单个种子无法激活任何超边——任一超边的感染尾成员数至多为 </w:t>
      </w:r>
      <w:r>
        <w:rPr>
          <w:rFonts w:ascii="Cambria Math" w:eastAsia="SimSun" w:hAnsi="Cambria Math"/>
          <w:i w:val="false"/>
          <w:iCs w:val="false"/>
        </w:rPr>
        <w:t xml:space="preserve">1&lt;θ</w:t>
      </w:r>
      <w:r>
        <w:rPr>
          <w:rFonts w:ascii="Times New Roman" w:cs="Times New Roman" w:eastAsia="SimSun" w:hAnsi="Times New Roman"/>
        </w:rPr>
        <w:t xml:space="preserve">——过程立即停在初态，爆发规模恒为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；因此必须取一个规模不小于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的种子集，我们取均匀随机的初始感染比例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。这与 bootstrap 渗流以初始激活比例为控制参数的做法一致 [44]，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因而是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分支的第二个控制参数。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有限系统几乎必然在有限时间内到达无感染者的吸收态。记该吸收态中康复节点的占比为爆发规模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，记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为给定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对动力学随机性与种子选取的条件期望。两种初始条件下种子分布都均匀，因而与超边方向无关，这一点 II.D 将用到。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(5)–(8) 中方向性的作用是不对称的：节点的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决定它能把感染推给多少个头集，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决定它暴露于多少个尾集。这一不对称正是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得以进入动力学的通道。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有向超边重叠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第二个结构参数刻画超边之间如何共享节点。在无向超图中，两条超边的重叠只有"共享几个节点"一个自由度 [27, 28]；引入尾/头之分后，共享节点在两条超边中各自扮演的角色也成为信息。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对任意有序超边对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≠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，定义重叠列联矩阵的四个分量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)∩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sz w:val="21"/>
          <w:szCs w:val="21"/>
        </w:rPr>
        <w:t xml:space="preserve">	(10)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当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同理。四个通道各有独立的动力学含义：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共发</w:t>
      </w:r>
      <w:r>
        <w:rPr>
          <w:rFonts w:ascii="Times New Roman" w:cs="Times New Roman" w:eastAsia="SimSun" w:hAnsi="Times New Roman"/>
        </w:rPr>
        <w:t xml:space="preserve">，共享节点在两条超边中同为尾成员，同一感染源向两个不同头集扇出；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HH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共收</w:t>
      </w:r>
      <w:r>
        <w:rPr>
          <w:rFonts w:ascii="Times New Roman" w:cs="Times New Roman" w:eastAsia="SimSun" w:hAnsi="Times New Roman"/>
        </w:rPr>
        <w:t xml:space="preserve">，共享节点同为头成员，两条超边的感染率按 (8) 在该节点上叠加（附录的头侧剂量核下，跨超边剂量亦在此累积）；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为</w:t>
      </w:r>
      <w:r>
        <w:rPr>
          <w:rFonts w:ascii="Times New Roman" w:cs="Times New Roman" w:eastAsia="SimSun" w:hAnsi="Times New Roman"/>
          <w:b/>
          <w:bCs/>
        </w:rPr>
        <w:t xml:space="preserve">串联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的头集落入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的尾集，构成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→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的传播链；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为反向串联。由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̄=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)∪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即得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̄|=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HH</w:t>
      </w:r>
      <w:r>
        <w:rPr>
          <w:rFonts w:ascii="Cambria Math" w:eastAsia="SimSun" w:hAnsi="Cambria Math"/>
          <w:sz w:val="21"/>
          <w:szCs w:val="21"/>
        </w:rPr>
        <w:t xml:space="preserve">	(11)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也就是说，对任意一对超边，四通道之和精确等于其无向重叠：本节的重叠量是现行定义的方向细化，因而后文结果可与无向文献直接对照。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归一化到 </w:t>
      </w:r>
      <w:r>
        <w:rPr>
          <w:rFonts w:ascii="Cambria Math" w:eastAsia="SimSun" w:hAnsi="Cambria Math"/>
          <w:i w:val="false"/>
          <w:iCs w:val="false"/>
        </w:rPr>
        <w:t xml:space="preserve">[0,1]</w:t>
      </w:r>
      <w:r>
        <w:rPr>
          <w:rFonts w:ascii="Times New Roman" w:cs="Times New Roman" w:eastAsia="SimSun" w:hAnsi="Times New Roman"/>
        </w:rPr>
        <w:t xml:space="preserve"> 取（同质阶数下分母逐通道为常数：</w:t>
      </w:r>
      <w:r>
        <w:rPr>
          <w:rFonts w:ascii="Cambria Math" w:eastAsia="SimSun" w:hAnsi="Cambria Math"/>
          <w:i/>
          <w:iCs/>
        </w:rPr>
        <w:t xml:space="preserve">TT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HH</w:t>
      </w:r>
      <w:r>
        <w:rPr>
          <w:rFonts w:ascii="Times New Roman" w:cs="Times New Roman" w:eastAsia="SimSun" w:hAnsi="Times New Roman"/>
        </w:rPr>
        <w:t xml:space="preserve"> 取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、两个串联通道取 </w:t>
      </w:r>
      <w:r>
        <w:rPr>
          <w:rFonts w:ascii="Cambria Math" w:eastAsia="SimSun" w:hAnsi="Cambria Math"/>
          <w:i/>
          <w:iCs/>
        </w:rPr>
        <w:t xml:space="preserve">min</w:t>
      </w:r>
      <w:r>
        <w:rPr>
          <w:rFonts w:ascii="Cambria Math" w:eastAsia="SimSun" w:hAnsi="Cambria Math"/>
          <w:i w:val="false"/>
          <w:iCs w:val="false"/>
        </w:rPr>
        <w:t xml:space="preserve">(τ,η)</w:t>
      </w:r>
      <w:r>
        <w:rPr>
          <w:rFonts w:ascii="Times New Roman" w:cs="Times New Roman" w:eastAsia="SimSun" w:hAnsi="Times New Roman"/>
        </w:rPr>
        <w:t xml:space="preserve">）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)|,|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)|))</w:t>
      </w:r>
      <w:r>
        <w:rPr>
          <w:rFonts w:ascii="Cambria Math" w:eastAsia="SimSun" w:hAnsi="Cambria Math"/>
          <w:sz w:val="21"/>
          <w:szCs w:val="21"/>
        </w:rPr>
        <w:t xml:space="preserve">	(12)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聚合方式受一条硬约束限制。对固定的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逐节点计数可得四条求和规则，例如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)-1), 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f≠ e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 H(e)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(13)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其余两式同理。右端只依赖度序列，因此</w:t>
      </w:r>
      <w:r>
        <w:rPr>
          <w:rFonts w:ascii="Times New Roman" w:cs="Times New Roman" w:eastAsia="SimSun" w:hAnsi="Times New Roman"/>
          <w:b/>
          <w:bCs/>
        </w:rPr>
        <w:t xml:space="preserve">在保度约束下四个通道的重叠总量是常数</w:t>
      </w:r>
      <w:r>
        <w:rPr>
          <w:rFonts w:ascii="Times New Roman" w:cs="Times New Roman" w:eastAsia="SimSun" w:hAnsi="Times New Roman"/>
        </w:rPr>
        <w:t xml:space="preserve">；同质阶数下 (12) 的分母逐通道为常数，故无条件平均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同样被度序列锁死，无法作为可调参数。可变的是重叠的堆积方式——是让少数超边对深度共享，还是让共享摊薄到大量超边对上。据此定义条件平均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σσ'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=⟨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)≥1,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)=σ,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)=σ'  ⟩</w:t>
      </w:r>
      <w:r>
        <w:rPr>
          <w:rFonts w:ascii="Cambria Math" w:eastAsia="SimSun" w:hAnsi="Cambria Math"/>
          <w:sz w:val="21"/>
          <w:szCs w:val="21"/>
        </w:rPr>
        <w:t xml:space="preserve">	(14)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即在确实发生重叠的超边对上取平均，其中 </w:t>
      </w:r>
      <w:r>
        <w:rPr>
          <w:rFonts w:ascii="Cambria Math" w:eastAsia="SimSun" w:hAnsi="Cambria Math"/>
          <w:i w:val="false"/>
          <w:iCs w:val="false"/>
        </w:rPr>
        <w:t xml:space="preserve">σ(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)=(|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)|,|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)|)</w:t>
      </w:r>
      <w:r>
        <w:rPr>
          <w:rFonts w:ascii="Times New Roman" w:cs="Times New Roman" w:eastAsia="SimSun" w:hAnsi="Times New Roman"/>
        </w:rPr>
        <w:t xml:space="preserve"> 为超边的阶；该通道无重叠时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不定义。记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为该通道中发生重叠的超边对数，则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，常数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仅由度序列决定。因此调节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等价于调节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，这决定了第 V 节重连算法的实现方式。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式 (14) 中阶指标取对角块（</w:t>
      </w:r>
      <w:r>
        <w:rPr>
          <w:rFonts w:ascii="Cambria Math" w:eastAsia="SimSun" w:hAnsi="Cambria Math"/>
          <w:i w:val="false"/>
          <w:iCs w:val="false"/>
        </w:rPr>
        <w:t xml:space="preserve">σ=σ'</w:t>
      </w:r>
      <w:r>
        <w:rPr>
          <w:rFonts w:ascii="Times New Roman" w:cs="Times New Roman" w:eastAsia="SimSun" w:hAnsi="Times New Roman"/>
        </w:rPr>
        <w:t xml:space="preserve">）即阶内重叠、取非对角块即阶间重叠，与无向情形下超边重叠矩阵的对角/非对角划分一致 [28]；本文只是在其每个矩阵元上再展开出四个方向通道。同质阶数下阶指标退化，以下略去并简记为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；第 VII 节的真实数据阶数异质，届时阶指标重新生效。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互惠方向不由上述张量刻画。两条超边是否互相指回，取决于一组超边能否共同完成反向覆盖，这是超边级而非超边对级的判据。本文直接采用已有的强互惠定义 [34]：若存在一组超边，其尾集之并覆盖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且头集之并覆盖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，则称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被强互惠；取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⇄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=(|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∈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被强互惠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(15)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采用这一定义是为了与已有测量口径一致，便于第 VII 节与真实数据的报告值并列。需要注意它与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不同类：退化关系 (11) 对它不成立，它也不进入第 IV 节转移算子的权重。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方向翻转与宇称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定义全局方向翻转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为对所有超边交换尾集与头集，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⟼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(16)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是有向超图空间上的对合（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id</w:t>
      </w:r>
      <w:r>
        <w:rPr>
          <w:rFonts w:ascii="Times New Roman" w:cs="Times New Roman" w:eastAsia="SimSun" w:hAnsi="Times New Roman"/>
        </w:rPr>
        <w:t xml:space="preserve">）。它把每个节点的入度与出度互换，把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η</w:t>
      </w:r>
      <w:r>
        <w:rPr>
          <w:rFonts w:ascii="Times New Roman" w:cs="Times New Roman" w:eastAsia="SimSun" w:hAnsi="Times New Roman"/>
        </w:rPr>
        <w:t xml:space="preserve"> 互换，并在四个重叠通道上作用为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: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↔α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TH</w:t>
      </w:r>
      <w:r>
        <w:rPr>
          <w:rFonts w:ascii="Cambria Math" w:eastAsia="SimSun" w:hAnsi="Cambria Math"/>
          <w:sz w:val="21"/>
          <w:szCs w:val="21"/>
        </w:rPr>
        <w:t xml:space="preserve">	(17)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两个串联通道并不独立。对有序超边对恒有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，故同质阶数下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TH</w:t>
      </w:r>
      <w:r>
        <w:rPr>
          <w:rFonts w:ascii="Times New Roman" w:cs="Times New Roman" w:eastAsia="SimSun" w:hAnsi="Times New Roman"/>
        </w:rPr>
        <w:t xml:space="preserve"> 逐实现相等（异质阶数下互为阶指标的转置），串联方向只携带一个分量，记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Cambria Math" w:eastAsia="SimSun" w:hAnsi="Cambria Math"/>
          <w:i w:val="false"/>
          <w:iCs w:val="false"/>
        </w:rPr>
        <w:t xml:space="preserve">=α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HT</w:t>
      </w:r>
      <w:r>
        <w:rPr>
          <w:rFonts w:ascii="Times New Roman" w:cs="Times New Roman" w:eastAsia="SimSun" w:hAnsi="Times New Roman"/>
        </w:rPr>
        <w:t xml:space="preserve">。四个通道在聚合层面因而只有三个独立分量。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按宇称重组：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与并联重叠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Cambria Math" w:eastAsia="SimSun" w:hAnsi="Cambria Math"/>
          <w:i w:val="false"/>
          <w:iCs w:val="false"/>
        </w:rPr>
        <w:t xml:space="preserve">=1/2(α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</w:rPr>
        <w:t xml:space="preserve">+α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下为偶，而极性失衡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Δα=1/2(α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HH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(18)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为奇。跨结构比较（如阈值对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⇉</w:t>
      </w:r>
      <w:r>
        <w:rPr>
          <w:rFonts w:ascii="Times New Roman" w:cs="Times New Roman" w:eastAsia="SimSun" w:hAnsi="Times New Roman"/>
        </w:rPr>
        <w:t xml:space="preserve"> 的依赖）必须固定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，否则三个分量的效应混在同一条扫描线上；但成对的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比较不受此限，因为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为偶，翻转前后取值相同，无法伪造配对差异。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下为</w:t>
      </w:r>
      <w:r>
        <w:rPr>
          <w:rFonts w:ascii="Times New Roman" w:cs="Times New Roman" w:eastAsia="SimSun" w:hAnsi="Times New Roman"/>
          <w:b/>
          <w:bCs/>
        </w:rPr>
        <w:t xml:space="preserve">偶</w:t>
      </w:r>
      <w:r>
        <w:rPr>
          <w:rFonts w:ascii="Times New Roman" w:cs="Times New Roman" w:eastAsia="SimSun" w:hAnsi="Times New Roman"/>
        </w:rPr>
        <w:t xml:space="preserve">：翻转互换每个节点的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(4) 的 Pearson 相关系数对其两个变量对称，故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据此可把结构量按宇称分类。本文所用结构量中，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-奇的来源有两个且相互独立：双度序列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关于分量互换的不对称性，以及极性失衡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。尾头基数之差 </w:t>
      </w:r>
      <w:r>
        <w:rPr>
          <w:rFonts w:ascii="Cambria Math" w:eastAsia="SimSun" w:hAnsi="Cambria Math"/>
          <w:i w:val="false"/>
          <w:iCs w:val="false"/>
        </w:rPr>
        <w:t xml:space="preserve">τ-η</w:t>
      </w:r>
      <w:r>
        <w:rPr>
          <w:rFonts w:ascii="Times New Roman" w:cs="Times New Roman" w:eastAsia="SimSun" w:hAnsi="Times New Roman"/>
        </w:rPr>
        <w:t xml:space="preserve"> 不是第三个独立来源——由 (3)，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互换对称蕴含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τ≠η</w:t>
      </w:r>
      <w:r>
        <w:rPr>
          <w:rFonts w:ascii="Times New Roman" w:cs="Times New Roman" w:eastAsia="SimSun" w:hAnsi="Times New Roman"/>
        </w:rPr>
        <w:t xml:space="preserve"> 只是序列不对称的一个充分标志；反之序列不对称时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仍可成立。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这一分类对终态有直接约束。设结构系综 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生成随机有向超图，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为 II.B 定义的条件期望爆发规模；由于种子均匀选取，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的定义本身不引入方向偏好。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1.</w:t>
      </w:r>
      <w:r>
        <w:rPr>
          <w:rFonts w:ascii="Times New Roman" w:cs="Times New Roman" w:eastAsia="SimSun" w:hAnsi="Times New Roman"/>
          <w:color w:val="3A4A5A"/>
        </w:rPr>
        <w:t xml:space="preserve"> 若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Times New Roman" w:cs="Times New Roman" w:eastAsia="SimSun" w:hAnsi="Times New Roman"/>
          <w:color w:val="3A4A5A"/>
        </w:rPr>
        <w:t xml:space="preserve"> 下不变，即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ℙ[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]=ℙ[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]</w:t>
      </w:r>
      <w:r>
        <w:rPr>
          <w:rFonts w:ascii="Times New Roman" w:cs="Times New Roman" w:eastAsia="SimSun" w:hAnsi="Times New Roman"/>
          <w:color w:val="3A4A5A"/>
        </w:rPr>
        <w:t xml:space="preserve"> 对所有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 成立，则 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=⟨ </w:t>
      </w:r>
      <w:r>
        <w:rPr>
          <w:rFonts w:ascii="Cambria Math" w:eastAsia="SimSun" w:hAnsi="Cambria Math"/>
          <w:i/>
          <w:iCs/>
          <w:color w:val="3A4A5A"/>
        </w:rPr>
        <w:t xml:space="preserve">S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∘</w:t>
      </w:r>
      <w:r>
        <w:rPr>
          <w:rFonts w:ascii="Cambria Math" w:eastAsia="SimSun" w:hAnsi="Cambria Math"/>
          <w:i/>
          <w:iCs/>
          <w:color w:val="3A4A5A"/>
        </w:rPr>
        <w:t xml:space="preserve">R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⟩</w:t>
      </w:r>
      <w:r>
        <w:rPr>
          <w:rFonts w:ascii="Cambria Math" w:eastAsia="SimSun" w:hAnsi="Cambria Math"/>
          <w:i w:val="false"/>
          <w:iCs w:val="false"/>
          <w:color w:val="3A4A5A"/>
          <w:vertAlign w:val="subscript"/>
        </w:rPr>
        <w:t xml:space="preserve">ℙ</w:t>
      </w:r>
      <w:r>
        <w:rPr>
          <w:rFonts w:ascii="Times New Roman" w:cs="Times New Roman" w:eastAsia="SimSun" w:hAnsi="Times New Roman"/>
          <w:color w:val="3A4A5A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证明只需一次换元：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是结构空间上的可测对合，故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ℙ[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的逆否形式给出方向对称性破缺的必要条件：</w:t>
      </w:r>
      <w:r>
        <w:rPr>
          <w:rFonts w:ascii="Times New Roman" w:cs="Times New Roman" w:eastAsia="SimSun" w:hAnsi="Times New Roman"/>
          <w:b/>
          <w:bCs/>
        </w:rPr>
        <w:t xml:space="preserve">系综层面的破缺要求生成系综本身破坏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Times New Roman" w:cs="Times New Roman" w:eastAsia="SimSun" w:hAnsi="Times New Roman"/>
          <w:b/>
          <w:bCs/>
        </w:rPr>
        <w:t xml:space="preserve">-不变性</w:t>
      </w:r>
      <w:r>
        <w:rPr>
          <w:rFonts w:ascii="Times New Roman" w:cs="Times New Roman" w:eastAsia="SimSun" w:hAnsi="Times New Roman"/>
        </w:rPr>
        <w:t xml:space="preserve">。在本文所用结构量中，能承载这一破坏的只有上述两个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-奇的来源。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但即便必要条件被满足，破缺也未必能在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上看到。存在一条更强的不变性，它与系综是否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-不变无关：</w:t>
      </w:r>
    </w:p>
    <w:p>
      <w:pPr>
        <w:pBdr>
          <w:left w:val="single" w:color="9AAFC4" w:sz="12" w:space="8"/>
        </w:pBdr>
        <w:spacing w:after="60" w:before="60" w:line="300"/>
        <w:ind w:left="360"/>
      </w:pPr>
      <w:r>
        <w:rPr>
          <w:rFonts w:ascii="Times New Roman" w:cs="Times New Roman" w:eastAsia="SimSun" w:hAnsi="Times New Roman"/>
          <w:b/>
          <w:bCs/>
          <w:color w:val="3A4A5A"/>
        </w:rPr>
        <w:t xml:space="preserve">命题 2.</w:t>
      </w:r>
      <w:r>
        <w:rPr>
          <w:rFonts w:ascii="Times New Roman" w:cs="Times New Roman" w:eastAsia="SimSun" w:hAnsi="Times New Roman"/>
          <w:color w:val="3A4A5A"/>
        </w:rPr>
        <w:t xml:space="preserve"> 设 (i) 终态可表示为某个随机结构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上的可达性，即从种子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出发的最终感染集为 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Times New Roman" w:cs="Times New Roman" w:eastAsia="SimSun" w:hAnsi="Times New Roman"/>
          <w:color w:val="3A4A5A"/>
        </w:rPr>
        <w:t xml:space="preserve"> 在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Times New Roman" w:cs="Times New Roman" w:eastAsia="SimSun" w:hAnsi="Times New Roman"/>
          <w:color w:val="3A4A5A"/>
        </w:rPr>
        <w:t xml:space="preserve"> 中的出分支 </w:t>
      </w:r>
      <w:r>
        <w:rPr>
          <w:rFonts w:ascii="Cambria Math" w:eastAsia="SimSun" w:hAnsi="Cambria Math"/>
          <w:i/>
          <w:iCs/>
          <w:color w:val="3A4A5A"/>
        </w:rPr>
        <w:t xml:space="preserve">out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v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，如 [5] 的半有向流行渗流网络所给出；且 (ii)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RH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与 </w:t>
      </w:r>
      <w:r>
        <w:rPr>
          <w:rFonts w:ascii="Cambria Math" w:eastAsia="SimSun" w:hAnsi="Cambria Math"/>
          <w:i/>
          <w:iCs/>
          <w:color w:val="3A4A5A"/>
        </w:rPr>
        <w:t xml:space="preserve">G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(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Cambria Math" w:eastAsia="SimSun" w:hAnsi="Cambria Math"/>
          <w:i w:val="false"/>
          <w:iCs w:val="false"/>
          <w:color w:val="3A4A5A"/>
        </w:rPr>
        <w:t xml:space="preserve">)</w:t>
      </w:r>
      <w:r>
        <w:rPr>
          <w:rFonts w:ascii="Times New Roman" w:cs="Times New Roman" w:eastAsia="SimSun" w:hAnsi="Times New Roman"/>
          <w:color w:val="3A4A5A"/>
        </w:rPr>
        <w:t xml:space="preserve"> 的转置同分布。则对</w:t>
      </w:r>
      <w:r>
        <w:rPr>
          <w:rFonts w:ascii="Times New Roman" w:cs="Times New Roman" w:eastAsia="SimSun" w:hAnsi="Times New Roman"/>
          <w:b/>
          <w:bCs/>
          <w:color w:val="3A4A5A"/>
        </w:rPr>
        <w:t xml:space="preserve">任意</w:t>
      </w:r>
      <w:r>
        <w:rPr>
          <w:rFonts w:ascii="Times New Roman" w:cs="Times New Roman" w:eastAsia="SimSun" w:hAnsi="Times New Roman"/>
          <w:color w:val="3A4A5A"/>
        </w:rPr>
        <w:t xml:space="preserve">有向超图 </w:t>
      </w:r>
      <w:r>
        <w:rPr>
          <w:rFonts w:ascii="Cambria Math" w:eastAsia="SimSun" w:hAnsi="Cambria Math"/>
          <w:i/>
          <w:iCs/>
          <w:color w:val="3A4A5A"/>
        </w:rPr>
        <w:t xml:space="preserve">H</w:t>
      </w:r>
      <w:r>
        <w:rPr>
          <w:rFonts w:ascii="Times New Roman" w:cs="Times New Roman" w:eastAsia="SimSun" w:hAnsi="Times New Roman"/>
          <w:color w:val="3A4A5A"/>
        </w:rPr>
        <w:t xml:space="preserve">，均匀单种子下的平均爆发规模在方向翻转下不变。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证明只需一次计数：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)|=#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):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 自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可达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。转置把每个可达有序对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换成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，可达对的</w:t>
      </w:r>
      <w:r>
        <w:rPr>
          <w:rFonts w:ascii="Times New Roman" w:cs="Times New Roman" w:eastAsia="SimSun" w:hAnsi="Times New Roman"/>
          <w:b/>
          <w:bCs/>
        </w:rPr>
        <w:t xml:space="preserve">总数</w:t>
      </w:r>
      <w:r>
        <w:rPr>
          <w:rFonts w:ascii="Times New Roman" w:cs="Times New Roman" w:eastAsia="SimSun" w:hAnsi="Times New Roman"/>
        </w:rPr>
        <w:t xml:space="preserve">因而逐实现不变；除以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Times New Roman" w:cs="Times New Roman" w:eastAsia="SimSun" w:hAnsi="Times New Roman"/>
        </w:rPr>
        <w:t xml:space="preserve"> 即得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不变。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假设 (ii) 需要分情形讨论。取线性核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时，传播事件对每个（尾成员，头成员）对独立发生，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可在不参照种子的情况下一次抽出，(ii) 严格成立，计数恒等式因而</w:t>
      </w:r>
      <w:r>
        <w:rPr>
          <w:rFonts w:ascii="Times New Roman" w:cs="Times New Roman" w:eastAsia="SimSun" w:hAnsi="Times New Roman"/>
          <w:b/>
          <w:bCs/>
        </w:rPr>
        <w:t xml:space="preserve">逐实现精确</w:t>
      </w:r>
      <w:r>
        <w:rPr>
          <w:rFonts w:ascii="Times New Roman" w:cs="Times New Roman" w:eastAsia="SimSun" w:hAnsi="Times New Roman"/>
        </w:rPr>
        <w:t xml:space="preserve">。但本文主线的超边级阈值核不满足 (ii)：超边的激活区间是其已感染尾成员感染期的并集，取决于哪些尾成员先被感染，因而依赖种子，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Times New Roman" w:cs="Times New Roman" w:eastAsia="SimSun" w:hAnsi="Times New Roman"/>
        </w:rPr>
        <w:t xml:space="preserve"> 不是种子无关的。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这一违背是真实的而非可忽略的。第 VI 节在 </w:t>
      </w:r>
      <w:r>
        <w:rPr>
          <w:rFonts w:ascii="Cambria Math" w:eastAsia="SimSun" w:hAnsi="Cambria Math"/>
          <w:i w:val="false"/>
          <w:iCs w:val="false"/>
        </w:rPr>
        <w:t xml:space="preserve">τ=3,η=1</w:t>
      </w:r>
      <w:r>
        <w:rPr>
          <w:rFonts w:ascii="Times New Roman" w:cs="Times New Roman" w:eastAsia="SimSun" w:hAnsi="Times New Roman"/>
        </w:rPr>
        <w:t xml:space="preserve"> 的最不对称构型上测得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的翻转残余不对称约为 </w:t>
      </w:r>
      <w:r>
        <w:rPr>
          <w:rFonts w:ascii="Cambria Math" w:eastAsia="SimSun" w:hAnsi="Cambria Math"/>
          <w:i w:val="false"/>
          <w:iCs w:val="false"/>
        </w:rPr>
        <w:t xml:space="preserve">-2%</w:t>
      </w:r>
      <w:r>
        <w:rPr>
          <w:rFonts w:ascii="Times New Roman" w:cs="Times New Roman" w:eastAsia="SimSun" w:hAnsi="Times New Roman"/>
        </w:rPr>
        <w:t xml:space="preserve">（阈值邻域，四个独立结构符号一致，合并 </w:t>
      </w:r>
      <w:r>
        <w:rPr>
          <w:rFonts w:ascii="Cambria Math" w:eastAsia="SimSun" w:hAnsi="Cambria Math"/>
          <w:i w:val="false"/>
          <w:iCs w:val="false"/>
        </w:rPr>
        <w:t xml:space="preserve">5σ</w:t>
      </w:r>
      <w:r>
        <w:rPr>
          <w:rFonts w:ascii="Times New Roman" w:cs="Times New Roman" w:eastAsia="SimSun" w:hAnsi="Times New Roman"/>
        </w:rPr>
        <w:t xml:space="preserve">）。该残余不是仿真器本身对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Times New Roman" w:cs="Times New Roman" w:eastAsia="SimSun" w:hAnsi="Times New Roman"/>
        </w:rPr>
        <w:t xml:space="preserve"> 的处理不对称：在互换对称的双度序列上——命题 1 直接禁止破缺——同一协议给出的残余为 </w:t>
      </w:r>
      <w:r>
        <w:rPr>
          <w:rFonts w:ascii="Cambria Math" w:eastAsia="SimSun" w:hAnsi="Cambria Math"/>
          <w:i w:val="false"/>
          <w:iCs w:val="false"/>
        </w:rPr>
        <w:t xml:space="preserve">-0.36%±0.28%</w:t>
      </w:r>
      <w:r>
        <w:rPr>
          <w:rFonts w:ascii="Times New Roman" w:cs="Times New Roman" w:eastAsia="SimSun" w:hAnsi="Times New Roman"/>
        </w:rPr>
        <w:t xml:space="preserve">，与零相容；即便保守地把它当作仪器基线扣除，剩余部分仍有 </w:t>
      </w:r>
      <w:r>
        <w:rPr>
          <w:rFonts w:ascii="Cambria Math" w:eastAsia="SimSun" w:hAnsi="Cambria Math"/>
          <w:i w:val="false"/>
          <w:iCs w:val="false"/>
        </w:rPr>
        <w:t xml:space="preserve">-1.88%±0.52%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3.6σ</w:t>
      </w:r>
      <w:r>
        <w:rPr>
          <w:rFonts w:ascii="Times New Roman" w:cs="Times New Roman" w:eastAsia="SimSun" w:hAnsi="Times New Roman"/>
        </w:rPr>
        <w:t xml:space="preserve">）。它是超边级激活特有的效应：成对情形与线性核下均不存在。因此命题 2 对本文主线是</w:t>
      </w:r>
      <w:r>
        <w:rPr>
          <w:rFonts w:ascii="Times New Roman" w:cs="Times New Roman" w:eastAsia="SimSun" w:hAnsi="Times New Roman"/>
          <w:b/>
          <w:bCs/>
        </w:rPr>
        <w:t xml:space="preserve">近似</w:t>
      </w:r>
      <w:r>
        <w:rPr>
          <w:rFonts w:ascii="Times New Roman" w:cs="Times New Roman" w:eastAsia="SimSun" w:hAnsi="Times New Roman"/>
        </w:rPr>
        <w:t xml:space="preserve">结论，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并非严格不变量。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即便如此，命题 2 的结论在量级上仍然成立：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是一个极差的破缺序参量</w:t>
      </w:r>
      <w:r>
        <w:rPr>
          <w:rFonts w:ascii="Times New Roman" w:cs="Times New Roman" w:eastAsia="SimSun" w:hAnsi="Times New Roman"/>
        </w:rPr>
        <w:t xml:space="preserve">。同一批构型上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在翻转下由 </w:t>
      </w:r>
      <w:r>
        <w:rPr>
          <w:rFonts w:ascii="Cambria Math" w:eastAsia="SimSun" w:hAnsi="Cambria Math"/>
          <w:i w:val="false"/>
          <w:iCs w:val="false"/>
        </w:rPr>
        <w:t xml:space="preserve">0.67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0.39</w:t>
      </w:r>
      <w:r>
        <w:rPr>
          <w:rFonts w:ascii="Times New Roman" w:cs="Times New Roman" w:eastAsia="SimSun" w:hAnsi="Times New Roman"/>
        </w:rPr>
        <w:t xml:space="preserve">，相对其均值的差异约 </w:t>
      </w:r>
      <w:r>
        <w:rPr>
          <w:rFonts w:ascii="Cambria Math" w:eastAsia="SimSun" w:hAnsi="Cambria Math"/>
          <w:i w:val="false"/>
          <w:iCs w:val="false"/>
        </w:rPr>
        <w:t xml:space="preserve">53%</w:t>
      </w:r>
      <w:r>
        <w:rPr>
          <w:rFonts w:ascii="Times New Roman" w:cs="Times New Roman" w:eastAsia="SimSun" w:hAnsi="Times New Roman"/>
        </w:rPr>
        <w:t xml:space="preserve">，比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残余大二十余倍。破缺出现在可达对</w:t>
      </w:r>
      <w:r>
        <w:rPr>
          <w:rFonts w:ascii="Times New Roman" w:cs="Times New Roman" w:eastAsia="SimSun" w:hAnsi="Times New Roman"/>
          <w:b/>
          <w:bCs/>
        </w:rPr>
        <w:t xml:space="preserve">如何分布</w:t>
      </w:r>
      <w:r>
        <w:rPr>
          <w:rFonts w:ascii="Times New Roman" w:cs="Times New Roman" w:eastAsia="SimSun" w:hAnsi="Times New Roman"/>
        </w:rPr>
        <w:t xml:space="preserve">，而非其总数。按 [5]，大爆发的</w:t>
      </w:r>
      <w:r>
        <w:rPr>
          <w:rFonts w:ascii="Times New Roman" w:cs="Times New Roman" w:eastAsia="SimSun" w:hAnsi="Times New Roman"/>
          <w:b/>
          <w:bCs/>
        </w:rPr>
        <w:t xml:space="preserve">概率</w:t>
      </w:r>
      <w:r>
        <w:rPr>
          <w:rFonts w:ascii="Times New Roman" w:cs="Times New Roman" w:eastAsia="SimSun" w:hAnsi="Times New Roman"/>
        </w:rPr>
        <w:t xml:space="preserve">由巨入分支的相对规模决定，而爆发的</w:t>
      </w:r>
      <w:r>
        <w:rPr>
          <w:rFonts w:ascii="Times New Roman" w:cs="Times New Roman" w:eastAsia="SimSun" w:hAnsi="Times New Roman"/>
          <w:b/>
          <w:bCs/>
        </w:rPr>
        <w:t xml:space="preserve">终态规模</w:t>
      </w:r>
      <w:r>
        <w:rPr>
          <w:rFonts w:ascii="Times New Roman" w:cs="Times New Roman" w:eastAsia="SimSun" w:hAnsi="Times New Roman"/>
        </w:rPr>
        <w:t xml:space="preserve">由巨出分支决定；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恰好交换这两者。因此本文取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Π=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&gt;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(19)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为破缺的序参量，其中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cut</w:t>
      </w:r>
      <w:r>
        <w:rPr>
          <w:rFonts w:ascii="Times New Roman" w:cs="Times New Roman" w:eastAsia="SimSun" w:hAnsi="Times New Roman"/>
        </w:rPr>
        <w:t xml:space="preserve"> 为区分自限爆发与大爆发的阈值。由全期望公式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⟨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⟩=Π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̄+(1-Π)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&lt;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≤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(20)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而命题 2 把左端近似钉住，故右端各项的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-奇部分须相互抵消至上述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的残余以内。这是一条可证伪的预言，第 VI 节将检验之——检验时须把残余本身作为已知的系统项扣除，而非视作零。注意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&lt;</w:t>
      </w:r>
      <w:r>
        <w:rPr>
          <w:rFonts w:ascii="Times New Roman" w:cs="Times New Roman" w:eastAsia="SimSun" w:hAnsi="Times New Roman"/>
        </w:rPr>
        <w:t xml:space="preserve"> 在阈值邻域并不可忽略（自限爆发的规模下界为 </w:t>
      </w: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，其贡献与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同量级），因此补偿关系须按上式逐项核算，不能简化为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⟩≈Π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的角色由此成为一个可直接检验的推论：它不能单独产生破缺。设双度序列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关于分量互换对称，即 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至多相差一个节点重标号。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把位形模型系综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映为 </w:t>
      </w:r>
      <w:r>
        <w:rPr>
          <w:rFonts w:ascii="Cambria Math" w:eastAsia="SimSun" w:hAnsi="Cambria Math"/>
          <w:i/>
          <w:iCs/>
        </w:rPr>
        <w:t xml:space="preserve">CM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Rd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，后者是前者在该重标号下的像；而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与节点标号无关，故命题 1 的结论成立。关键在于这类对称序列可以取遍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∈[-1,1]</w:t>
      </w:r>
      <w:r>
        <w:rPr>
          <w:rFonts w:ascii="Times New Roman" w:cs="Times New Roman" w:eastAsia="SimSun" w:hAnsi="Times New Roman"/>
        </w:rPr>
        <w:t xml:space="preserve"> 的整个范围（例如 </w:t>
      </w:r>
      <w:r>
        <w:rPr>
          <w:rFonts w:ascii="Cambria Math" w:eastAsia="SimSun" w:hAnsi="Cambria Math"/>
          <w:i/>
          <w:iCs/>
        </w:rPr>
        <w:t xml:space="preserve">d</w:t>
      </w:r>
      <w:r>
        <w:rPr>
          <w:rFonts w:ascii="Times New Roman" w:cs="Times New Roman" w:eastAsia="SimSun" w:hAnsi="Times New Roman"/>
        </w:rPr>
        <w:t xml:space="preserve"> 由若干对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组成时序列对称而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可为任意值），因此</w:t>
      </w:r>
      <w:r>
        <w:rPr>
          <w:rFonts w:ascii="Times New Roman" w:cs="Times New Roman" w:eastAsia="SimSun" w:hAnsi="Times New Roman"/>
          <w:b/>
          <w:bCs/>
        </w:rPr>
        <w:t xml:space="preserve">沿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扫描的整条线上都不应出现破缺，尽管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确实移动阈值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最后需要强调，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-奇是必要条件，却远非充分条件。宇称分类指出哪些量</w:t>
      </w:r>
      <w:r>
        <w:rPr>
          <w:rFonts w:ascii="Times New Roman" w:cs="Times New Roman" w:eastAsia="SimSun" w:hAnsi="Times New Roman"/>
          <w:b/>
          <w:bCs/>
        </w:rPr>
        <w:t xml:space="preserve">可能</w:t>
      </w:r>
      <w:r>
        <w:rPr>
          <w:rFonts w:ascii="Times New Roman" w:cs="Times New Roman" w:eastAsia="SimSun" w:hAnsi="Times New Roman"/>
        </w:rPr>
        <w:t xml:space="preserve">驱动破缺，不指出哪一个</w:t>
      </w:r>
      <w:r>
        <w:rPr>
          <w:rFonts w:ascii="Times New Roman" w:cs="Times New Roman" w:eastAsia="SimSun" w:hAnsi="Times New Roman"/>
          <w:b/>
          <w:bCs/>
        </w:rPr>
        <w:t xml:space="preserve">实际</w:t>
      </w:r>
      <w:r>
        <w:rPr>
          <w:rFonts w:ascii="Times New Roman" w:cs="Times New Roman" w:eastAsia="SimSun" w:hAnsi="Times New Roman"/>
        </w:rPr>
        <w:t xml:space="preserve">驱动——后者是动力学问题，分类本身无从回答。第 VI 节的结论是两个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-奇来源分野明显：分支结构的不对称（阶数与双度序列）驱动的破缺在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上是显著效应，而重叠极性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尽管同为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-奇，其效应随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增大始终不可分辨，只能给出上界。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据此，第 VI 节破缺实验的设计为：全部测量以 </w:t>
      </w:r>
      <w:r>
        <w:rPr>
          <w:rFonts w:ascii="Cambria Math" w:eastAsia="SimSun" w:hAnsi="Cambria Math"/>
          <w:i w:val="false"/>
          <w:iCs w:val="false"/>
        </w:rPr>
        <w:t xml:space="preserve">(Π,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̄)</w:t>
      </w:r>
      <w:r>
        <w:rPr>
          <w:rFonts w:ascii="Times New Roman" w:cs="Times New Roman" w:eastAsia="SimSun" w:hAnsi="Times New Roman"/>
        </w:rPr>
        <w:t xml:space="preserve"> 为序参量而非 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；主实验驱动分支结构的不对称，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的效应作为独立扫描给出上界；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扫描作为阴性对照；</w:t>
      </w:r>
      <w:r>
        <w:rPr>
          <w:rFonts w:ascii="Cambria Math" w:eastAsia="SimSun" w:hAnsi="Cambria Math"/>
          <w:i w:val="false"/>
          <w:iCs w:val="false"/>
        </w:rPr>
        <w:t xml:space="preserve">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的近似不变性作为内部一致性检查，其 </w:t>
      </w:r>
      <w:r>
        <w:rPr>
          <w:rFonts w:ascii="Cambria Math" w:eastAsia="SimSun" w:hAnsi="Cambria Math"/>
          <w:i w:val="false"/>
          <w:iCs w:val="false"/>
        </w:rPr>
        <w:t xml:space="preserve">2%</w:t>
      </w:r>
      <w:r>
        <w:rPr>
          <w:rFonts w:ascii="Times New Roman" w:cs="Times New Roman" w:eastAsia="SimSun" w:hAnsi="Times New Roman"/>
        </w:rPr>
        <w:t xml:space="preserve"> 残余须与 </w:t>
      </w:r>
      <w:r>
        <w:rPr>
          <w:rFonts w:ascii="Cambria Math" w:eastAsia="SimSun" w:hAnsi="Cambria Math"/>
          <w:i w:val="false"/>
          <w:iCs w:val="false"/>
        </w:rPr>
        <w:t xml:space="preserve">Π</w:t>
      </w:r>
      <w:r>
        <w:rPr>
          <w:rFonts w:ascii="Times New Roman" w:cs="Times New Roman" w:eastAsia="SimSun" w:hAnsi="Times New Roman"/>
        </w:rPr>
        <w:t xml:space="preserve"> 的破缺幅度并列报告，以显示二者相差一个多数量级。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命题 1 与命题 2 都是关于系综平均的陈述。对单个实现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[</w:t>
      </w:r>
      <w:r>
        <w:rPr>
          <w:rFonts w:ascii="Cambria Math" w:eastAsia="SimSun" w:hAnsi="Cambria Math"/>
          <w:i/>
          <w:iCs/>
        </w:rPr>
        <w:t xml:space="preserve">RH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一般不等，其差为有限尺寸涨落，随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增大而趋零。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2026-08-09T11:13:16.395Z</dcterms:created>
  <dcterms:modified xsi:type="dcterms:W3CDTF">2026-08-09T11:13:16.396Z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