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为该节点所属的层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并人为令其永久保持易感（空腔节点），取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无向群体与有向超图的分界在此显现。有向情形下尾集与头集不相交，头成员被感染并不延长激活，故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是一条可用的假设；无向群体中每个成员既是传染源也是传染靶，一个成员被感染后群体随即激活，它可以感染同群其他成员，而后者被感染又延长群体的激活时长，从而进一步提高剩余成员被感染的概率。这一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使逐成员的乘积闭合失效。可行的做法不是忽略群内耦合，而是把它完整吸收进状态：以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，而激活且尚未传递的部分为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恒为易感，它不计入群体的感染计数，群体的激活只取决于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之后其各成员落在互不相交的分支中，故它们经由自身其他群体被感染的过程相互独立。该假设弱于有向情形下的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与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分支过程必须定义在群体层面：每个新感染节点点燃它的其余各群体，每个被点燃的群体产出 C 个新感染成员，这些成员再点燃各自的其余群体。若改在节点层面朴素地统计谁直接传染了谁，群内级联的后继会被重复计入。以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为谱半径。标量再生数由此升维为矩阵：单层、多层、成对、高阶均为其特例。全部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。此外，N 逐元非负，故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给出的阈值是线性化的产物。本小节给出一条不经由线性化的独立判据，其思路与谱方法正相反：始终停在阈值以下，由小种子所引发簇的规模发散读出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为种子的型分布。须注意 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求谱半径并二分，二者仅共享模型定义。两条路线的一致因而是对彼此的非平凡检验，这正是图 3 所报告者。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。其效果可以直接读出：在代表性构型上，未作外推时零点一致偏高 0.37%–0.44%，作外推后降至 0.031%–0.065%。偏置的系统性（各构型同号且量级相当）与该修正的有效性由此同时确认。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取窗口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，含单层高阶超图、成对退化网络与双层多重超图，其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与 0.400567，而外推值依次为 0.080354、0.099370、0.128236、0.174536、0.185512、0.250096、0.333440 与 0.400702。相对偏差依次为 +0.065%、+0.062%、+0.058%、+0.031%、+0.052%、+0.039%、+0.032% 与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与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，而非闭合与谱方法之间的实质分歧。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时为正——其量级与 σ 相当，故不可与真实偏离相区分。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的实线即此曲线：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上复现该曲线，偏离最大 1.9σ、相对差不超过 1.1%。相同节点在两层同时充当枢纽，会在边缘结构不变的前提下集中跨层传播能力、压低阈值；反相关则抬高阈值。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3810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的精确阈值，箱线图为多重超图上直接 Gillespie 仿真所得阈值的自助分布（亚临界簇规模外推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；箱体为四分位距、须为 5–95 百分位、中线为中位数）。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单调下降约 12.5%，理论与仿真在六点上一致至 1.9σ。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与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的方程组求和，外部风险项、群内项与康复项各自守恒相消，只余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处为零，达机器精度：闭合与次代矩阵共享同一个阈值，(2.9)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处与解析值相差不超过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中整列为零，精确出列，所得阈值与相应单层值逐位相同：一条高门槛渠道不改变爆发与否，只改变爆发规模。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闭合的亚临界终态与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次实现给出的估计与递推值一致，偏离多在一个统计标准误以内；其中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综上，由亚临界终态外推测得的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、偏离最大者 1.51σ。这是对爆发阈值的一次全非线性的独立确认，与前述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d952e96e5126cbb322b9a8a558b0c77d3700f48.png"/><Relationship Id="rId8" Type="http://schemas.openxmlformats.org/officeDocument/2006/relationships/image" Target="media/30874ee97d624669e9892c03dacffab351fd6fe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2026-08-20T02:47:50.759Z</dcterms:created>
  <dcterms:modified xsi:type="dcterms:W3CDTF">2026-08-20T02:47:50.760Z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