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II. 模型与结构量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A. 有向超图与记号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有向超图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由节点集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）与超边集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）构成。每条超边是一个有序对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)⊆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)=∅</w:t>
      </w:r>
      <w:r>
        <w:rPr>
          <w:rFonts w:ascii="Cambria Math" w:eastAsia="SimSun" w:hAnsi="Cambria Math"/>
          <w:sz w:val="21"/>
          <w:szCs w:val="21"/>
        </w:rPr>
        <w:t xml:space="preserve">	(1)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其中尾集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为施加影响的一方，头集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为接受影响的一方。尾集与头集不相交，这既排除了自作用，也是后文重叠退化关系 (10) 成立的前提。主线取同质阶数，即对所有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有 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)|=τ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)|=η</w:t>
      </w:r>
      <w:r>
        <w:rPr>
          <w:rFonts w:ascii="Times New Roman" w:cs="Times New Roman" w:eastAsia="SimSun" w:hAnsi="Times New Roman"/>
        </w:rPr>
        <w:t xml:space="preserve">；异质阶数的推广见附录。</w:t>
      </w:r>
      <w:r>
        <w:rPr>
          <w:rFonts w:ascii="Cambria Math" w:eastAsia="SimSun" w:hAnsi="Cambria Math"/>
          <w:i w:val="false"/>
          <w:iCs w:val="false"/>
        </w:rPr>
        <w:t xml:space="preserve">τ=η=1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退化为普通有向图；忽略尾/头之分则退化为无向超图。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节点的出度与入度分别计其作为尾成员与头成员的次数，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sz w:val="21"/>
          <w:szCs w:val="21"/>
        </w:rPr>
        <w:t xml:space="preserve">	(2)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二者的联合分布记为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。逐边计数给出两条握手关系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V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)=τ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V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)=η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sz w:val="21"/>
          <w:szCs w:val="21"/>
        </w:rPr>
        <w:t xml:space="preserve">	(3)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因此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⟩/⟨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⟩=τ/η</w:t>
      </w:r>
      <w:r>
        <w:rPr>
          <w:rFonts w:ascii="Times New Roman" w:cs="Times New Roman" w:eastAsia="SimSun" w:hAnsi="Times New Roman"/>
        </w:rPr>
        <w:t xml:space="preserve">：尾集与头集基数不等时，两个平均度必然不等。本文的第一个结构参数是入出度相关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⟩-⟨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⟩⟨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k_out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(4)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在节点上的 Pearson 相关系数。它刻画的是同一节点两个方向的度值关系，与相连节点之间的度—度同配性 [1] 是不同的量。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B. SIR 动力学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每个节点在任一时刻处于易感（S）、感染（I）、康复（R）三态之一。感染只沿尾→头方向传递：一条超边的尾集成员被感染后，对其头集中的易感节点施加压力，反向不发生传递。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记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)⊆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为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时刻的感染节点集，并令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</w:t>
      </w:r>
      <w:r>
        <w:rPr>
          <w:rFonts w:ascii="Cambria Math" w:eastAsia="SimSun" w:hAnsi="Cambria Math"/>
          <w:sz w:val="21"/>
          <w:szCs w:val="21"/>
        </w:rPr>
        <w:t xml:space="preserve">	(5)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尾集中已感染的成员数。超边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对其头集中每个易感节点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∈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施加的感染率取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)=β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(0)=0</w:t>
      </w:r>
      <w:r>
        <w:rPr>
          <w:rFonts w:ascii="Cambria Math" w:eastAsia="SimSun" w:hAnsi="Cambria Math"/>
          <w:sz w:val="21"/>
          <w:szCs w:val="21"/>
        </w:rPr>
        <w:t xml:space="preserve">	(6)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 w:val="false"/>
          <w:iCs w:val="false"/>
        </w:rPr>
        <w:t xml:space="preserve">β&gt;0</w:t>
      </w:r>
      <w:r>
        <w:rPr>
          <w:rFonts w:ascii="Times New Roman" w:cs="Times New Roman" w:eastAsia="SimSun" w:hAnsi="Times New Roman"/>
        </w:rPr>
        <w:t xml:space="preserve"> 为传播强度，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Times New Roman" w:cs="Times New Roman" w:eastAsia="SimSun" w:hAnsi="Times New Roman"/>
        </w:rPr>
        <w:t xml:space="preserve"> 为感染核。本文主线取群体阈值核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g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)=Θ(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-θ)=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≥θ; 0,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&lt;θ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sz w:val="21"/>
          <w:szCs w:val="21"/>
        </w:rPr>
        <w:t xml:space="preserve">	(7)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即尾集中感染成员数达到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时超边被激活，此后以恒定率向头集传递。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对应简单传播：任一尾成员被感染即足以激活超边。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则要求多个尾成员的联合状态，属于阈值型复杂传播 [2, 3]，两者的渗流对应物不同，将在第 IV 节分别处理。取线性核 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可回收"每个感染尾成员独立传递"的情形；含时间累积的剂量核见附录。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易感节点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的总感染率是它所在全部头集的贡献之和，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e: u∈ H(e)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(8)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感染节点以恒定率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独立康复，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→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，康复后不再参与传递。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V</w:t>
      </w:r>
      <w:r>
        <w:rPr>
          <w:rFonts w:ascii="Times New Roman" w:cs="Times New Roman" w:eastAsia="SimSun" w:hAnsi="Times New Roman"/>
        </w:rPr>
        <w:t xml:space="preserve"> 上的状态演化因而是一个连续时间 Markov 过程，可用 Gillespie 算法精确抽样 [4]，这是第 III 节数值校验的基础。非指数康复期分布的推广见附录。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式 (5)–(8) 中方向性的作用是不对称的：节点的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Times New Roman" w:cs="Times New Roman" w:eastAsia="SimSun" w:hAnsi="Times New Roman"/>
        </w:rPr>
        <w:t xml:space="preserve"> 决定它能把感染推给多少个头集，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Times New Roman" w:cs="Times New Roman" w:eastAsia="SimSun" w:hAnsi="Times New Roman"/>
        </w:rPr>
        <w:t xml:space="preserve"> 决定它暴露于多少个尾集。这一不对称正是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得以进入动力学的通道。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C. 有向超边重叠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第二个结构参数刻画超边之间如何共享节点。在无向超图中，两条超边的重叠只有"共享几个节点"一个自由度 [5, 6]；引入尾/头之分后，共享节点在两条超边中各自扮演的角色也成为信息。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对任意有序超边对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≠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，定义重叠列联矩阵的四个分量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sz w:val="21"/>
          <w:szCs w:val="21"/>
        </w:rPr>
        <w:t xml:space="preserve">	(9)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同理。四个通道各有独立的动力学含义：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TT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共发</w:t>
      </w:r>
      <w:r>
        <w:rPr>
          <w:rFonts w:ascii="Times New Roman" w:cs="Times New Roman" w:eastAsia="SimSun" w:hAnsi="Times New Roman"/>
        </w:rPr>
        <w:t xml:space="preserve">，共享节点在两条超边中同为尾成员，同一感染源向两个不同头集扇出；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HH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共收</w:t>
      </w:r>
      <w:r>
        <w:rPr>
          <w:rFonts w:ascii="Times New Roman" w:cs="Times New Roman" w:eastAsia="SimSun" w:hAnsi="Times New Roman"/>
        </w:rPr>
        <w:t xml:space="preserve">，共享节点同为头成员，来自两个不同尾集的压力在同一节点上汇聚，群体阈值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正是在此累积跨超边的剂量；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HT</w:t>
      </w:r>
      <w:r>
        <w:rPr>
          <w:rFonts w:ascii="Times New Roman" w:cs="Times New Roman" w:eastAsia="SimSun" w:hAnsi="Times New Roman"/>
        </w:rPr>
        <w:t xml:space="preserve"> 为</w:t>
      </w:r>
      <w:r>
        <w:rPr>
          <w:rFonts w:ascii="Times New Roman" w:cs="Times New Roman" w:eastAsia="SimSun" w:hAnsi="Times New Roman"/>
          <w:b/>
          <w:bCs/>
        </w:rPr>
        <w:t xml:space="preserve">串联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的头集落入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 的尾集，构成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→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 的传播链；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TH</w:t>
      </w:r>
      <w:r>
        <w:rPr>
          <w:rFonts w:ascii="Times New Roman" w:cs="Times New Roman" w:eastAsia="SimSun" w:hAnsi="Times New Roman"/>
        </w:rPr>
        <w:t xml:space="preserve"> 为反向串联。由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)=∅</w:t>
      </w:r>
      <w:r>
        <w:rPr>
          <w:rFonts w:ascii="Times New Roman" w:cs="Times New Roman" w:eastAsia="SimSun" w:hAnsi="Times New Roman"/>
        </w:rPr>
        <w:t xml:space="preserve">，令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̄=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)∪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即得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̄∩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̄|=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HH</w:t>
      </w:r>
      <w:r>
        <w:rPr>
          <w:rFonts w:ascii="Cambria Math" w:eastAsia="SimSun" w:hAnsi="Cambria Math"/>
          <w:sz w:val="21"/>
          <w:szCs w:val="21"/>
        </w:rPr>
        <w:t xml:space="preserve">	(10)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也就是说，对任意一对超边，四通道之和精确等于其无向重叠。本文的重叠量因而是现行定义的方向细化，而非另一套互不相容的定义，这使得后文结果可与无向文献直接对照。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归一化到 </w:t>
      </w:r>
      <w:r>
        <w:rPr>
          <w:rFonts w:ascii="Cambria Math" w:eastAsia="SimSun" w:hAnsi="Cambria Math"/>
          <w:i w:val="false"/>
          <w:iCs w:val="false"/>
        </w:rPr>
        <w:t xml:space="preserve">[0,1]</w:t>
      </w:r>
      <w:r>
        <w:rPr>
          <w:rFonts w:ascii="Times New Roman" w:cs="Times New Roman" w:eastAsia="SimSun" w:hAnsi="Times New Roman"/>
        </w:rPr>
        <w:t xml:space="preserve"> 取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)|,|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)|))</w:t>
      </w:r>
      <w:r>
        <w:rPr>
          <w:rFonts w:ascii="Cambria Math" w:eastAsia="SimSun" w:hAnsi="Cambria Math"/>
          <w:sz w:val="21"/>
          <w:szCs w:val="21"/>
        </w:rPr>
        <w:t xml:space="preserve">	(11)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聚合方式需要谨慎。对固定的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逐节点计数可得四条求和规则，例如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T(e)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)-1),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H(e)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(12)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其余两式同理。右端只依赖度序列，因此</w:t>
      </w:r>
      <w:r>
        <w:rPr>
          <w:rFonts w:ascii="Times New Roman" w:cs="Times New Roman" w:eastAsia="SimSun" w:hAnsi="Times New Roman"/>
          <w:b/>
          <w:bCs/>
        </w:rPr>
        <w:t xml:space="preserve">在保度约束下四个通道的重叠总量是常数</w:t>
      </w:r>
      <w:r>
        <w:rPr>
          <w:rFonts w:ascii="Times New Roman" w:cs="Times New Roman" w:eastAsia="SimSun" w:hAnsi="Times New Roman"/>
        </w:rPr>
        <w:t xml:space="preserve">：无条件平均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正比于该常数除以超边对数，恒定不变，无法作为可调参数。可变的是重叠的堆积方式——是让少数超边对深度共享，还是让共享摊薄到大量超边对上。据此定义条件平均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σσ'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=⟨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)≥1,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)=σ'  ⟩</w:t>
      </w:r>
      <w:r>
        <w:rPr>
          <w:rFonts w:ascii="Cambria Math" w:eastAsia="SimSun" w:hAnsi="Cambria Math"/>
          <w:sz w:val="21"/>
          <w:szCs w:val="21"/>
        </w:rPr>
        <w:t xml:space="preserve">	(13)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即在确实发生重叠的超边对上取平均，其中 </w:t>
      </w:r>
      <w:r>
        <w:rPr>
          <w:rFonts w:ascii="Cambria Math" w:eastAsia="SimSun" w:hAnsi="Cambria Math"/>
          <w:i w:val="false"/>
          <w:iCs w:val="false"/>
        </w:rPr>
        <w:t xml:space="preserve">σ(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)=(|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)|,|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)|)</w:t>
      </w:r>
      <w:r>
        <w:rPr>
          <w:rFonts w:ascii="Times New Roman" w:cs="Times New Roman" w:eastAsia="SimSun" w:hAnsi="Times New Roman"/>
        </w:rPr>
        <w:t xml:space="preserve"> 为超边的阶。记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为该通道中发生重叠的超边对数，则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∝常数/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，调节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等价于调节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；这决定了第 V 节重连算法的实现方式。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式 (13) 中阶指标取对角块（</w:t>
      </w:r>
      <w:r>
        <w:rPr>
          <w:rFonts w:ascii="Cambria Math" w:eastAsia="SimSun" w:hAnsi="Cambria Math"/>
          <w:i w:val="false"/>
          <w:iCs w:val="false"/>
        </w:rPr>
        <w:t xml:space="preserve">σ=σ'</w:t>
      </w:r>
      <w:r>
        <w:rPr>
          <w:rFonts w:ascii="Times New Roman" w:cs="Times New Roman" w:eastAsia="SimSun" w:hAnsi="Times New Roman"/>
        </w:rPr>
        <w:t xml:space="preserve">）即阶内重叠、取非对角块即阶间重叠，与无向情形下超边重叠矩阵的对角/非对角划分一致 [6]；本文只是在其每个矩阵元上再展开出四个方向通道。同质阶数下阶指标退化，以下略去并简记为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互惠方向不由上述张量刻画。两条超边是否互相指回，取决于一组超边能否共同完成反向覆盖，这是超边级而非超边对级的判据。本文直接采用已有的强互惠定义 [7]：若存在一组超边，其尾集之并覆盖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且头集之并覆盖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，则称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被强互惠；取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⇄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被强互惠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(14)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采用这一定义是为了与已有测量口径一致，便于第 VII 节与真实数据的报告值并列。需要注意它与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不同类：退化关系 (10) 对它不成立，它也不进入第 IV 节转移算子的权重。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D. 方向翻转与宇称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定义全局方向翻转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为对所有超边交换尾集与头集，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⟼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sz w:val="21"/>
          <w:szCs w:val="21"/>
        </w:rPr>
        <w:t xml:space="preserve">	(15)</w:t>
      </w:r>
    </w:p>
    <w:p>
      <w:pPr>
        <w:spacing w:after="120" w:before="120" w:line="320"/>
        <w:jc w:val="both"/>
      </w:pP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是有向超图空间上的对合（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id</w:t>
      </w:r>
      <w:r>
        <w:rPr>
          <w:rFonts w:ascii="Times New Roman" w:cs="Times New Roman" w:eastAsia="SimSun" w:hAnsi="Times New Roman"/>
        </w:rPr>
        <w:t xml:space="preserve">）。它把每个节点的入度与出度互换，把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η</w:t>
      </w:r>
      <w:r>
        <w:rPr>
          <w:rFonts w:ascii="Times New Roman" w:cs="Times New Roman" w:eastAsia="SimSun" w:hAnsi="Times New Roman"/>
        </w:rPr>
        <w:t xml:space="preserve"> 互换，并在四个重叠通道上作用为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TH</w:t>
      </w:r>
      <w:r>
        <w:rPr>
          <w:rFonts w:ascii="Cambria Math" w:eastAsia="SimSun" w:hAnsi="Cambria Math"/>
          <w:sz w:val="21"/>
          <w:szCs w:val="21"/>
        </w:rPr>
        <w:t xml:space="preserve">	(16)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据此把四通道重组为宇称本征量：串联重叠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Cambria Math" w:eastAsia="SimSun" w:hAnsi="Cambria Math"/>
          <w:i w:val="false"/>
          <w:iCs w:val="false"/>
        </w:rPr>
        <w:t xml:space="preserve">=1/2(α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</w:rPr>
        <w:t xml:space="preserve">+α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与并联重叠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Cambria Math" w:eastAsia="SimSun" w:hAnsi="Cambria Math"/>
          <w:i w:val="false"/>
          <w:iCs w:val="false"/>
        </w:rPr>
        <w:t xml:space="preserve">=1/2(α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</w:rPr>
        <w:t xml:space="preserve">+α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下为偶，而极性失衡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Δα=1/2(α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(17)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为奇。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必须在扫描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 或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时固定，否则三种效应混在同一条扫描线上。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入出度相关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下为</w:t>
      </w:r>
      <w:r>
        <w:rPr>
          <w:rFonts w:ascii="Times New Roman" w:cs="Times New Roman" w:eastAsia="SimSun" w:hAnsi="Times New Roman"/>
          <w:b/>
          <w:bCs/>
        </w:rPr>
        <w:t xml:space="preserve">偶</w:t>
      </w:r>
      <w:r>
        <w:rPr>
          <w:rFonts w:ascii="Times New Roman" w:cs="Times New Roman" w:eastAsia="SimSun" w:hAnsi="Times New Roman"/>
        </w:rPr>
        <w:t xml:space="preserve">：翻转互换每个节点的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，而 (4) 的 Pearson 相关系数对其两个变量对称，故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。据此可把结构量按宇称分类，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-奇者共三类：尾头基数之差 </w:t>
      </w:r>
      <w:r>
        <w:rPr>
          <w:rFonts w:ascii="Cambria Math" w:eastAsia="SimSun" w:hAnsi="Cambria Math"/>
          <w:i w:val="false"/>
          <w:iCs w:val="false"/>
        </w:rPr>
        <w:t xml:space="preserve">τ-η</w:t>
      </w:r>
      <w:r>
        <w:rPr>
          <w:rFonts w:ascii="Times New Roman" w:cs="Times New Roman" w:eastAsia="SimSun" w:hAnsi="Times New Roman"/>
        </w:rPr>
        <w:t xml:space="preserve">、联合度分布关于对角线的反对称部分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)-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，以及极性失衡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这一分类对终态有直接约束。设结构系综 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生成随机有向超图，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为在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上按 II.B 演化所得的终态爆发规模。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1.</w:t>
      </w:r>
      <w:r>
        <w:rPr>
          <w:rFonts w:ascii="Times New Roman" w:cs="Times New Roman" w:eastAsia="SimSun" w:hAnsi="Times New Roman"/>
          <w:color w:val="3A4A5A"/>
        </w:rPr>
        <w:t xml:space="preserve"> 若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ℙ</w:t>
      </w:r>
      <w:r>
        <w:rPr>
          <w:rFonts w:ascii="Times New Roman" w:cs="Times New Roman" w:eastAsia="SimSun" w:hAnsi="Times New Roman"/>
          <w:color w:val="3A4A5A"/>
        </w:rPr>
        <w:t xml:space="preserve"> 在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Times New Roman" w:cs="Times New Roman" w:eastAsia="SimSun" w:hAnsi="Times New Roman"/>
          <w:color w:val="3A4A5A"/>
        </w:rPr>
        <w:t xml:space="preserve"> 下不变，即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ℙ[</w:t>
      </w:r>
      <w:r>
        <w:rPr>
          <w:rFonts w:ascii="Cambria Math" w:eastAsia="SimSun" w:hAnsi="Cambria Math"/>
          <w:i/>
          <w:iCs/>
          <w:color w:val="3A4A5A"/>
        </w:rPr>
        <w:t xml:space="preserve">RH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]=ℙ[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]</w:t>
      </w:r>
      <w:r>
        <w:rPr>
          <w:rFonts w:ascii="Times New Roman" w:cs="Times New Roman" w:eastAsia="SimSun" w:hAnsi="Times New Roman"/>
          <w:color w:val="3A4A5A"/>
        </w:rPr>
        <w:t xml:space="preserve"> 对所有 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Times New Roman" w:cs="Times New Roman" w:eastAsia="SimSun" w:hAnsi="Times New Roman"/>
          <w:color w:val="3A4A5A"/>
        </w:rPr>
        <w:t xml:space="preserve"> 成立，则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⟨ </w:t>
      </w:r>
      <w:r>
        <w:rPr>
          <w:rFonts w:ascii="Cambria Math" w:eastAsia="SimSun" w:hAnsi="Cambria Math"/>
          <w:i/>
          <w:iCs/>
          <w:color w:val="3A4A5A"/>
        </w:rPr>
        <w:t xml:space="preserve">S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⟩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ℙ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=⟨ </w:t>
      </w:r>
      <w:r>
        <w:rPr>
          <w:rFonts w:ascii="Cambria Math" w:eastAsia="SimSun" w:hAnsi="Cambria Math"/>
          <w:i/>
          <w:iCs/>
          <w:color w:val="3A4A5A"/>
        </w:rPr>
        <w:t xml:space="preserve">S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∘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⟩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ℙ</w:t>
      </w:r>
      <w:r>
        <w:rPr>
          <w:rFonts w:ascii="Times New Roman" w:cs="Times New Roman" w:eastAsia="SimSun" w:hAnsi="Times New Roman"/>
          <w:color w:val="3A4A5A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证明只需一次换元：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是结构空间上的可测对合，故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ℙ[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命题 1 的逆否形式给出方向对称性破缺的必要条件：</w:t>
      </w:r>
      <w:r>
        <w:rPr>
          <w:rFonts w:ascii="Times New Roman" w:cs="Times New Roman" w:eastAsia="SimSun" w:hAnsi="Times New Roman"/>
          <w:b/>
          <w:bCs/>
        </w:rPr>
        <w:t xml:space="preserve">系综层面的破缺要求上述三类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Times New Roman" w:cs="Times New Roman" w:eastAsia="SimSun" w:hAnsi="Times New Roman"/>
          <w:b/>
          <w:bCs/>
        </w:rPr>
        <w:t xml:space="preserve">-奇量至少有一个非零。</w:t>
      </w:r>
      <w:r>
        <w:rPr>
          <w:rFonts w:ascii="Times New Roman" w:cs="Times New Roman" w:eastAsia="SimSun" w:hAnsi="Times New Roman"/>
        </w:rPr>
        <w:t xml:space="preserve"> 由此立即可知，在 </w:t>
      </w:r>
      <w:r>
        <w:rPr>
          <w:rFonts w:ascii="Cambria Math" w:eastAsia="SimSun" w:hAnsi="Cambria Math"/>
          <w:i w:val="false"/>
          <w:iCs w:val="false"/>
        </w:rPr>
        <w:t xml:space="preserve">τ=η</w:t>
      </w:r>
      <w:r>
        <w:rPr>
          <w:rFonts w:ascii="Times New Roman" w:cs="Times New Roman" w:eastAsia="SimSun" w:hAnsi="Times New Roman"/>
        </w:rPr>
        <w:t xml:space="preserve"> 且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 关于对角线对称的设定下单独扫描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不可能产生破缺——尽管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确实移动阈值。这一推论决定了第 VI 节破缺实验的设计：固定前两类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-奇量为零，只扫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，并以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</w:rPr>
        <w:t xml:space="preserve"> 扫描作为无破缺的阴性对照。需要强调命题 1 是关于系综平均的陈述；对单个实现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一般不等，其差为有限尺寸涨落。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M. E. J. Newman, </w:t>
      </w:r>
      <w:r>
        <w:rPr>
          <w:rFonts w:ascii="Times New Roman" w:cs="Times New Roman" w:eastAsia="SimSun" w:hAnsi="Times New Roman"/>
          <w:i/>
          <w:iCs/>
        </w:rPr>
        <w:t xml:space="preserve">Physical Review Letters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89</w:t>
      </w:r>
      <w:r>
        <w:rPr>
          <w:rFonts w:ascii="Times New Roman" w:cs="Times New Roman" w:eastAsia="SimSun" w:hAnsi="Times New Roman"/>
        </w:rPr>
        <w:t xml:space="preserve">, 208701 (2002). doi:10.1103/PhysRevLett.89.208701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J. Watts, </w:t>
      </w:r>
      <w:r>
        <w:rPr>
          <w:rFonts w:ascii="Times New Roman" w:cs="Times New Roman" w:eastAsia="SimSun" w:hAnsi="Times New Roman"/>
          <w:i/>
          <w:iCs/>
        </w:rPr>
        <w:t xml:space="preserve">Proceedings of the National Academy of Sciences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99</w:t>
      </w:r>
      <w:r>
        <w:rPr>
          <w:rFonts w:ascii="Times New Roman" w:cs="Times New Roman" w:eastAsia="SimSun" w:hAnsi="Times New Roman"/>
        </w:rPr>
        <w:t xml:space="preserve">, 5766–5771 (2002). doi:10.1073/pnas.082090499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Centola, M. Macy, </w:t>
      </w:r>
      <w:r>
        <w:rPr>
          <w:rFonts w:ascii="Times New Roman" w:cs="Times New Roman" w:eastAsia="SimSun" w:hAnsi="Times New Roman"/>
          <w:i/>
          <w:iCs/>
        </w:rPr>
        <w:t xml:space="preserve">American Journal of Sociology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113</w:t>
      </w:r>
      <w:r>
        <w:rPr>
          <w:rFonts w:ascii="Times New Roman" w:cs="Times New Roman" w:eastAsia="SimSun" w:hAnsi="Times New Roman"/>
        </w:rPr>
        <w:t xml:space="preserve">, 702–734 (2007). doi:10.1086/521848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T. Gillespie, </w:t>
      </w:r>
      <w:r>
        <w:rPr>
          <w:rFonts w:ascii="Times New Roman" w:cs="Times New Roman" w:eastAsia="SimSun" w:hAnsi="Times New Roman"/>
          <w:i/>
          <w:iCs/>
        </w:rPr>
        <w:t xml:space="preserve">The Journal of Physical Chemistry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81</w:t>
      </w:r>
      <w:r>
        <w:rPr>
          <w:rFonts w:ascii="Times New Roman" w:cs="Times New Roman" w:eastAsia="SimSun" w:hAnsi="Times New Roman"/>
        </w:rPr>
        <w:t xml:space="preserve">, 2340–2361 (1977). doi:10.1021/j100540a008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Malizia, S. Lamata-Otín, M. Frasca, V. Latora, J. Gómez-Gardeñes, </w:t>
      </w:r>
      <w:r>
        <w:rPr>
          <w:rFonts w:ascii="Times New Roman" w:cs="Times New Roman" w:eastAsia="SimSun" w:hAnsi="Times New Roman"/>
          <w:i/>
          <w:iCs/>
        </w:rPr>
        <w:t xml:space="preserve">Nature Communications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16</w:t>
      </w:r>
      <w:r>
        <w:rPr>
          <w:rFonts w:ascii="Times New Roman" w:cs="Times New Roman" w:eastAsia="SimSun" w:hAnsi="Times New Roman"/>
        </w:rPr>
        <w:t xml:space="preserve"> (2025). doi:10.1038/s41467-024-55506-1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S. Lamata-Otín, F. Malizia, V. Latora, M. Frasca, J. Gómez-Gardeñes, </w:t>
      </w:r>
      <w:r>
        <w:rPr>
          <w:rFonts w:ascii="Times New Roman" w:cs="Times New Roman" w:eastAsia="SimSun" w:hAnsi="Times New Roman"/>
          <w:i/>
          <w:iCs/>
        </w:rPr>
        <w:t xml:space="preserve">Physical Review E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111</w:t>
      </w:r>
      <w:r>
        <w:rPr>
          <w:rFonts w:ascii="Times New Roman" w:cs="Times New Roman" w:eastAsia="SimSun" w:hAnsi="Times New Roman"/>
        </w:rPr>
        <w:t xml:space="preserve">, 034302 (2025). doi:10.1103/PhysRevE.111.034302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Q. F. Lotito, A. Vendramini, A. Montresor, F. Battiston, </w:t>
      </w:r>
      <w:r>
        <w:rPr>
          <w:rFonts w:ascii="Times New Roman" w:cs="Times New Roman" w:eastAsia="SimSun" w:hAnsi="Times New Roman"/>
          <w:i/>
          <w:iCs/>
        </w:rPr>
        <w:t xml:space="preserve">Communications Physics</w:t>
      </w:r>
      <w:r>
        <w:rPr>
          <w:rFonts w:ascii="Times New Roman" w:cs="Times New Roman" w:eastAsia="SimSun" w:hAnsi="Times New Roman"/>
        </w:rPr>
        <w:t xml:space="preserve">, </w:t>
      </w:r>
      <w:r>
        <w:rPr>
          <w:rFonts w:ascii="Times New Roman" w:cs="Times New Roman" w:eastAsia="SimSun" w:hAnsi="Times New Roman"/>
          <w:b/>
          <w:bCs/>
        </w:rPr>
        <w:t xml:space="preserve">9</w:t>
      </w:r>
      <w:r>
        <w:rPr>
          <w:rFonts w:ascii="Times New Roman" w:cs="Times New Roman" w:eastAsia="SimSun" w:hAnsi="Times New Roman"/>
        </w:rPr>
        <w:t xml:space="preserve"> (2026). doi:10.1038/s42005-025-02472-9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2026-08-08T14:20:45.363Z</dcterms:created>
  <dcterms:modified xsi:type="dcterms:W3CDTF">2026-08-08T14:20:45.363Z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