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个尾成员共同驱动——激活时长是各成员感染期之并，闭合变量不能逐成员相乘。以尾集中易感、感染、康复的成员计数为状态，可把"尚未传递"重写为一条带湮灭的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。模型另给出两个与直觉相反的结构结论：均匀单种子下的平均爆发规模几乎不能探测方向对称性破缺，须改用爆发概率与条件爆发规模；方向翻转下的奇宇称是破缺的必要而远非充分条件。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</w:t>
      </w:r>
      <w:r>
        <w:rPr>
          <w:rFonts w:ascii="Times New Roman" w:cs="Times New Roman" w:eastAsia="SimSun" w:hAnsi="Times New Roman"/>
          <w:b/>
          <w:bCs/>
        </w:rPr>
        <w:t xml:space="preserve">有向</w:t>
      </w:r>
      <w:r>
        <w:rPr>
          <w:rFonts w:ascii="Times New Roman" w:cs="Times New Roman" w:eastAsia="SimSun" w:hAnsi="Times New Roman"/>
        </w:rPr>
        <w:t xml:space="preserve">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[10]；方程给出峰值与时间演化——Volz 的低维闭合 [11] 经 Miller 等整理为边基房室模型（EBCM），以"沿一条边尚未传来感染"的概率为核心变量 [12]；二者可相互印证 [13]。方向性作为</w:t>
      </w:r>
      <w:r>
        <w:rPr>
          <w:rFonts w:ascii="Times New Roman" w:cs="Times New Roman" w:eastAsia="SimSun" w:hAnsi="Times New Roman"/>
          <w:b/>
          <w:bCs/>
        </w:rPr>
        <w:t xml:space="preserve">成对</w:t>
      </w:r>
      <w:r>
        <w:rPr>
          <w:rFonts w:ascii="Times New Roman" w:cs="Times New Roman" w:eastAsia="SimSun" w:hAnsi="Times New Roman"/>
        </w:rPr>
        <w:t xml:space="preserve">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35]。动力学一侧则少得多，据我们所知以 Li 等的工作为主：他们在有向超图上建立社会传播模型，发现双稳区间随有向强度减弱而收缩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</w:t>
      </w:r>
      <w:r>
        <w:rPr>
          <w:rFonts w:ascii="Times New Roman" w:cs="Times New Roman" w:eastAsia="SimSun" w:hAnsi="Times New Roman"/>
          <w:b/>
          <w:bCs/>
        </w:rPr>
        <w:t xml:space="preserve">阈值型</w:t>
      </w:r>
      <w:r>
        <w:rPr>
          <w:rFonts w:ascii="Times New Roman" w:cs="Times New Roman" w:eastAsia="SimSun" w:hAnsi="Times New Roman"/>
        </w:rPr>
        <w:t xml:space="preserve">级联中，正的入出度相关在较宽的平均入度范围内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[38]，与本文的 SIR 结果相反。原因在于阈值模型按活跃邻居的比例判定激活，高入度因而抬高激活门槛，而 SIR 中高入度只增加暴露。与精确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——过程只以种子自身康复告终，爆发规模恒为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[40]，大爆发的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在阈值邻域并不可忽略：那里绝大多数实现是自限的（</w:t>
      </w:r>
      <w:r>
        <w:rPr>
          <w:rFonts w:ascii="Cambria Math" w:eastAsia="SimSun" w:hAnsi="Cambria Math"/>
          <w:i w:val="false"/>
          <w:iCs w:val="false"/>
        </w:rPr>
        <w:t xml:space="preserve">1-Π</w:t>
      </w:r>
      <w:r>
        <w:rPr>
          <w:rFonts w:ascii="Times New Roman" w:cs="Times New Roman" w:eastAsia="SimSun" w:hAnsi="Times New Roman"/>
        </w:rPr>
        <w:t xml:space="preserve"> 接近 1），预跑测得自限项 </w:t>
      </w:r>
      <w:r>
        <w:rPr>
          <w:rFonts w:ascii="Cambria Math" w:eastAsia="SimSun" w:hAnsi="Cambria Math"/>
          <w:i w:val="false"/>
          <w:iCs w:val="false"/>
        </w:rPr>
        <w:t xml:space="preserve">(1-Π)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47%</w:t>
      </w:r>
      <w:r>
        <w:rPr>
          <w:rFonts w:ascii="Times New Roman" w:cs="Times New Roman" w:eastAsia="SimSun" w:hAnsi="Times New Roman"/>
        </w:rPr>
        <w:t xml:space="preserve">。因此补偿关系须按上式逐项核算，不能简化为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两条命题的适用层级不同：命题 1 是关于结构系综的陈述，命题 2 则对每个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单独成立——这正是它可以在单个不对称结构上被检验的原因。但两者针对的都是已对动力学随机性与种子取过平均的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；单次仿真的爆发规模在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之间自然不等，其差是有限次抽样的涨落，随实现数增大而趋零。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</w:t>
      </w:r>
      <w:r>
        <w:rPr>
          <w:rFonts w:ascii="Times New Roman" w:cs="Times New Roman" w:eastAsia="SimSun" w:hAnsi="Times New Roman"/>
          <w:b/>
          <w:bCs/>
        </w:rPr>
        <w:t xml:space="preserve">整个闭合而不止阈值都看不见重叠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2026-08-09T16:38:56.267Z</dcterms:created>
  <dcterms:modified xsi:type="dcterms:W3CDTF">2026-08-09T16:38:56.267Z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