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的三元组 </w:t>
      </w:r>
      <w:r>
        <w:rPr>
          <w:rFonts w:ascii="Cambria Math" w:eastAsia="SimSun" w:hAnsi="Cambria Math"/>
          <w:i w:val="false"/>
          <w:iCs w:val="false"/>
        </w:rPr>
        <w:t xml:space="preserve">(Φ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[2]——依次为伙伴处于易感、已感染但尚未传递、已康复且未曾传递的概率——唯一的实质替换是把余度生成函数换成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。需注意记号差异：本文的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对应该文中三者之和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，而本文的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 对应其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分量。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  <w:b/>
          <w:bCs/>
        </w:rPr>
        <w:t xml:space="preserve"> 的显式形式。</w:t>
      </w:r>
      <w:r>
        <w:rPr>
          <w:rFonts w:ascii="Times New Roman" w:cs="Times New Roman" w:eastAsia="SimSun" w:hAnsi="Times New Roman"/>
        </w:rPr>
        <w:t xml:space="preserve"> 六个状态按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记为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002</w:t>
      </w:r>
      <w:r>
        <w:rPr>
          <w:rFonts w:ascii="Times New Roman" w:cs="Times New Roman" w:eastAsia="SimSun" w:hAnsi="Times New Roman"/>
        </w:rPr>
        <w:t xml:space="preserve">，(29) 展开为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-(2μ+β)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+2μ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011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前三式对应尾集中至多一个成员曾被感染的情形，后三式对应两个成员；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110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020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011</w:t>
      </w:r>
      <w:r>
        <w:rPr>
          <w:rFonts w:ascii="Times New Roman" w:cs="Times New Roman" w:eastAsia="SimSun" w:hAnsi="Times New Roman"/>
        </w:rPr>
        <w:t xml:space="preserve">。逐式相加，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项成对相消，只余 </w:t>
      </w:r>
      <w:r>
        <w:rPr>
          <w:rFonts w:ascii="Cambria Math" w:eastAsia="SimSun" w:hAnsi="Cambria Math"/>
          <w:i w:val="false"/>
          <w:iCs w:val="false"/>
        </w:rPr>
        <w:t xml:space="preserve">-βΦ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，即 (30)。手写的这六个方程与按 (29) 自动生成的方程组，其积分在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=14</w:t>
      </w:r>
      <w:r>
        <w:rPr>
          <w:rFonts w:ascii="Times New Roman" w:cs="Times New Roman" w:eastAsia="SimSun" w:hAnsi="Times New Roman"/>
        </w:rPr>
        <w:t xml:space="preserve"> 处相差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-17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成立。(34)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求解到什么程度。</w:t>
      </w:r>
      <w:r>
        <w:rPr>
          <w:rFonts w:ascii="Times New Roman" w:cs="Times New Roman" w:eastAsia="SimSun" w:hAnsi="Times New Roman"/>
        </w:rPr>
        <w:t xml:space="preserve"> 有必要把"求解"的含义说清楚。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时，(24) 与 (29)–(30) 构成一个封闭的低维系统，其积分给出完整的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与终态规模，精度由 III.E 逐项校验；爆发阈值 (37) 是闭式，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时终态亦有闭式 (44)。但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时终态</w:t>
      </w:r>
      <w:r>
        <w:rPr>
          <w:rFonts w:ascii="Times New Roman" w:cs="Times New Roman" w:eastAsia="SimSun" w:hAnsi="Times New Roman"/>
          <w:b/>
          <w:bCs/>
        </w:rPr>
        <w:t xml:space="preserve">没有</w:t>
      </w:r>
      <w:r>
        <w:rPr>
          <w:rFonts w:ascii="Times New Roman" w:cs="Times New Roman" w:eastAsia="SimSun" w:hAnsi="Times New Roman"/>
        </w:rPr>
        <w:t xml:space="preserve">闭式，原因是结构性的而非技术性的：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∞</w:t>
      </w:r>
      <w:r>
        <w:rPr>
          <w:rFonts w:ascii="Times New Roman" w:cs="Times New Roman" w:eastAsia="SimSun" w:hAnsi="Times New Roman"/>
        </w:rPr>
        <w:t xml:space="preserve"> 取决于各尾成员感染期之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的长度；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时这个并只有一段，其长度服从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且与起始时刻无关，故可只用终态量闭合，而 </w:t>
      </w:r>
      <w:r>
        <w:rPr>
          <w:rFonts w:ascii="Cambria Math" w:eastAsia="SimSun" w:hAnsi="Cambria Math"/>
          <w:i w:val="false"/>
          <w:iCs w:val="false"/>
        </w:rPr>
        <w:t xml:space="preserve">τ≥2</w:t>
      </w:r>
      <w:r>
        <w:rPr>
          <w:rFonts w:ascii="Times New Roman" w:cs="Times New Roman" w:eastAsia="SimSun" w:hAnsi="Times New Roman"/>
        </w:rPr>
        <w:t xml:space="preserve"> 时并的长度依赖于各感染时刻的相对先后，终态量不足以确定它。这与 (23) 是同一个障碍。取线性核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时传播事件逐（尾成员，头成员）对独立，闭式重新出现。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的爆发条件不属本节范围。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。一阶量是恰有一个尾成员曾被感染的两个态，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；判据是曾被感染的成员数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的态为二阶——注意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τ-2,1,1</w:t>
      </w:r>
      <w:r>
        <w:rPr>
          <w:rFonts w:ascii="Times New Roman" w:cs="Times New Roman" w:eastAsia="SimSun" w:hAnsi="Times New Roman"/>
        </w:rPr>
        <w:t xml:space="preserve"> 虽然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也在其中。由两个种子规模积分读出各态随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的幂次，测得阶数逐态等于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，见 </w:t>
      </w:r>
      <w:r>
        <w:rPr>
          <w:rFonts w:ascii="Consolas" w:eastAsia="SimSun" w:hAnsi="Consolas"/>
        </w:rPr>
        <w:t xml:space="preserve">tools/check_order_counting.py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的一阶部分因而只有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；从头侧计数，新感染节点沿入边到达、其出度因而按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——成对情形下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正是有向图中"后继节点的平均出度"，亦即其再生数 [3]。由握手关系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(37)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(37)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4, 5]。[4] 的半有向阈值条件在纯有向极限下化为临界传播率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，[3] 亦以再生数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给出同一结果；由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=λ/(1+λ)</w:t>
      </w:r>
      <w:r>
        <w:rPr>
          <w:rFonts w:ascii="Times New Roman" w:cs="Times New Roman" w:eastAsia="SimSun" w:hAnsi="Times New Roman"/>
        </w:rPr>
        <w:t xml:space="preserve"> 代入 (37) 得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=1/κ=⟨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，而 </w:t>
      </w:r>
      <w:r>
        <w:rPr>
          <w:rFonts w:ascii="Cambria Math" w:eastAsia="SimSun" w:hAnsi="Cambria Math"/>
          <w:i w:val="false"/>
          <w:iCs w:val="false"/>
        </w:rPr>
        <w:t xml:space="preserve">τ=η</w:t>
      </w:r>
      <w:r>
        <w:rPr>
          <w:rFonts w:ascii="Times New Roman" w:cs="Times New Roman" w:eastAsia="SimSun" w:hAnsi="Times New Roman"/>
        </w:rPr>
        <w:t xml:space="preserve"> 时握手关系 (3) 给出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，两式因而恒等。需要强调，令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的入超边之列。(37)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的严格减函数：正的入出度相关促进传播。这一方向与成对有向图上的 SIR 一致——那里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同样经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依赖于入出度的协方差 [3]；(40) 把该依赖推广到有向超图，并显式给出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的系数。需要提醒的是这一方向并非普适于一切传播机制：有向网络的阈值型级联中，正的入出度相关反而</w:t>
      </w:r>
      <w:r>
        <w:rPr>
          <w:rFonts w:ascii="Times New Roman" w:cs="Times New Roman" w:eastAsia="SimSun" w:hAnsi="Times New Roman"/>
          <w:b/>
          <w:bCs/>
        </w:rPr>
        <w:t xml:space="preserve">提高</w:t>
      </w:r>
      <w:r>
        <w:rPr>
          <w:rFonts w:ascii="Times New Roman" w:cs="Times New Roman" w:eastAsia="SimSun" w:hAnsi="Times New Roman"/>
        </w:rPr>
        <w:t xml:space="preserve">系统稳健性 [6]。二者并不冲突——阈值模型按活跃邻居的比例判定激活，高入度抬高激活门槛；SIR 中高入度只增加暴露，故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同时偏大的节点在 SIR 中放大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，在阈值级联中却既难被激活又本可广播。这是第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(37)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）。更强地说，(24) 与 (25) 也只读取双度序列，故</w:t>
      </w:r>
      <w:r>
        <w:rPr>
          <w:rFonts w:ascii="Times New Roman" w:cs="Times New Roman" w:eastAsia="SimSun" w:hAnsi="Times New Roman"/>
          <w:b/>
          <w:bCs/>
        </w:rPr>
        <w:t xml:space="preserve">整个闭合而不止阈值都看不见重叠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。由 II.C 的求和规则，双度序列锁死的只是四个通道的重叠总量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，并不锁死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本身，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因而在固定度序列下仍是可动的自由度。这不是疏漏而是可检验的预言：重叠恰好度量超边之间共享节点的程度，也就是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的作用只体现在阈值以外的量上。但须说明，可动不等于易动：单纯的保度双边交换只能把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∥</w:t>
      </w:r>
      <w:r>
        <w:rPr>
          <w:rFonts w:ascii="Times New Roman" w:cs="Times New Roman" w:eastAsia="SimSun" w:hAnsi="Times New Roman"/>
        </w:rPr>
        <w:t xml:space="preserve"> 挪动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=150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两处测量），在如此窄的区间上仿真的变化不可分辨，因而检验这一预言必须先有第 V 节的定向重连工具把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推到有意义的范围。极性失衡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 是例外，它可被驱动到 </w:t>
      </w:r>
      <w:r>
        <w:rPr>
          <w:rFonts w:ascii="Cambria Math" w:eastAsia="SimSun" w:hAnsi="Cambria Math"/>
          <w:i w:val="false"/>
          <w:iCs w:val="false"/>
        </w:rPr>
        <w:t xml:space="preserve">0.108</w:t>
      </w:r>
      <w:r>
        <w:rPr>
          <w:rFonts w:ascii="Times New Roman" w:cs="Times New Roman" w:eastAsia="SimSun" w:hAnsi="Times New Roman"/>
        </w:rPr>
        <w:t xml:space="preserve">，故第 VI 节对它的上界测量不受此限。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(37)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需要说明，(41) 是我们为本模型构造的均场对照，而非 [7]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[8]，取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(34)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(38)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；(40) 与 (37)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(37)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0.0008</w:t>
      </w:r>
      <w:r>
        <w:rPr>
          <w:rFonts w:ascii="Times New Roman" w:cs="Times New Roman" w:eastAsia="SimSun" w:hAnsi="Times New Roman"/>
        </w:rPr>
        <w:t xml:space="preserve">，均小于图中线宽；峰位完全重合（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），峰高相差 </w:t>
      </w:r>
      <w:r>
        <w:rPr>
          <w:rFonts w:ascii="Cambria Math" w:eastAsia="SimSun" w:hAnsi="Cambria Math"/>
          <w:i w:val="false"/>
          <w:iCs w:val="false"/>
        </w:rPr>
        <w:t xml:space="preserve">1.3%</w:t>
      </w:r>
      <w:r>
        <w:rPr>
          <w:rFonts w:ascii="Times New Roman" w:cs="Times New Roman" w:eastAsia="SimSun" w:hAnsi="Times New Roman"/>
        </w:rPr>
        <w:t xml:space="preserve">。均场则把峰值由 </w:t>
      </w:r>
      <w:r>
        <w:rPr>
          <w:rFonts w:ascii="Cambria Math" w:eastAsia="SimSun" w:hAnsi="Cambria Math"/>
          <w:i w:val="false"/>
          <w:iCs w:val="false"/>
        </w:rPr>
        <w:t xml:space="preserve">0.059</w:t>
      </w:r>
      <w:r>
        <w:rPr>
          <w:rFonts w:ascii="Times New Roman" w:cs="Times New Roman" w:eastAsia="SimSun" w:hAnsi="Times New Roman"/>
        </w:rPr>
        <w:t xml:space="preserve"> 抬到 </w:t>
      </w:r>
      <w:r>
        <w:rPr>
          <w:rFonts w:ascii="Cambria Math" w:eastAsia="SimSun" w:hAnsi="Cambria Math"/>
          <w:i w:val="false"/>
          <w:iCs w:val="false"/>
        </w:rPr>
        <w:t xml:space="preserve">0.117</w:t>
      </w:r>
      <w:r>
        <w:rPr>
          <w:rFonts w:ascii="Times New Roman" w:cs="Times New Roman" w:eastAsia="SimSun" w:hAnsi="Times New Roman"/>
        </w:rPr>
        <w:t xml:space="preserve">（约一倍），并把峰位由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 提前到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=3.75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置信区间，最宽处约与线宽相当；蓝虚线为并发型 EBCM (29)，橙点线为均场闭合 (41)。(a)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，除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ε=0.005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(40)。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(43)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自身的限度，须如实报告。偏差在深超临界区最小（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</w:t>
      </w:r>
      <w:r>
        <w:rPr>
          <w:rFonts w:ascii="Cambria Math" w:eastAsia="SimSun" w:hAnsi="Cambria Math"/>
          <w:i w:val="false"/>
          <w:iCs w:val="false"/>
        </w:rPr>
        <w:t xml:space="preserve">≤0.7%</w:t>
      </w:r>
      <w:r>
        <w:rPr>
          <w:rFonts w:ascii="Times New Roman" w:cs="Times New Roman" w:eastAsia="SimSun" w:hAnsi="Times New Roman"/>
        </w:rPr>
        <w:t xml:space="preserve">），亚临界侧为 </w:t>
      </w:r>
      <w:r>
        <w:rPr>
          <w:rFonts w:ascii="Cambria Math" w:eastAsia="SimSun" w:hAnsi="Cambria Math"/>
          <w:i w:val="false"/>
          <w:iCs w:val="false"/>
        </w:rPr>
        <w:t xml:space="preserve">+3.3%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 </w:t>
      </w:r>
      <w:r>
        <w:rPr>
          <w:rFonts w:ascii="Cambria Math" w:eastAsia="SimSun" w:hAnsi="Cambria Math"/>
          <w:i w:val="false"/>
          <w:iCs w:val="false"/>
        </w:rPr>
        <w:t xml:space="preserve">+1.7%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0.8λ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），而在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）。偏差在亚临界区与阈值邻域一律为正，并在阈值邻域出现尖峰，深超临界区则收敛到零。这一高估是有限尺寸效应而非闭合误差，已直接验证：在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处固定 </w:t>
      </w:r>
      <w:r>
        <w:rPr>
          <w:rFonts w:ascii="Cambria Math" w:eastAsia="SimSun" w:hAnsi="Cambria Math"/>
          <w:i w:val="false"/>
          <w:iCs w:val="false"/>
        </w:rPr>
        <w:t xml:space="preserve">ε=0.005</w:t>
      </w:r>
      <w:r>
        <w:rPr>
          <w:rFonts w:ascii="Times New Roman" w:cs="Times New Roman" w:eastAsia="SimSun" w:hAnsi="Times New Roman"/>
        </w:rPr>
        <w:t xml:space="preserve">、每点取 </w:t>
      </w:r>
      <w:r>
        <w:rPr>
          <w:rFonts w:ascii="Cambria Math" w:eastAsia="SimSun" w:hAnsi="Cambria Math"/>
          <w:i w:val="false"/>
          <w:iCs w:val="false"/>
        </w:rPr>
        <w:t xml:space="preserve">3</w:t>
      </w:r>
      <w:r>
        <w:rPr>
          <w:rFonts w:ascii="Times New Roman" w:cs="Times New Roman" w:eastAsia="SimSun" w:hAnsi="Times New Roman"/>
        </w:rPr>
        <w:t xml:space="preserve"> 个独立结构逐一增大系统，高估由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+54%</w:t>
      </w:r>
      <w:r>
        <w:rPr>
          <w:rFonts w:ascii="Times New Roman" w:cs="Times New Roman" w:eastAsia="SimSun" w:hAnsi="Times New Roman"/>
        </w:rPr>
        <w:t xml:space="preserve"> 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=16000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+4.4%</w:t>
      </w:r>
      <w:r>
        <w:rPr>
          <w:rFonts w:ascii="Times New Roman" w:cs="Times New Roman" w:eastAsia="SimSun" w:hAnsi="Times New Roman"/>
        </w:rPr>
        <w:t xml:space="preserve">——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增大 </w:t>
      </w:r>
      <w:r>
        <w:rPr>
          <w:rFonts w:ascii="Cambria Math" w:eastAsia="SimSun" w:hAnsi="Cambria Math"/>
          <w:i w:val="false"/>
          <w:iCs w:val="false"/>
        </w:rPr>
        <w:t xml:space="preserve">16</w:t>
      </w:r>
      <w:r>
        <w:rPr>
          <w:rFonts w:ascii="Times New Roman" w:cs="Times New Roman" w:eastAsia="SimSun" w:hAnsi="Times New Roman"/>
        </w:rPr>
        <w:t xml:space="preserve"> 倍，高估缩小约 </w:t>
      </w:r>
      <w:r>
        <w:rPr>
          <w:rFonts w:ascii="Cambria Math" w:eastAsia="SimSun" w:hAnsi="Cambria Math"/>
          <w:i w:val="false"/>
          <w:iCs w:val="false"/>
        </w:rPr>
        <w:t xml:space="preserve">12</w:t>
      </w:r>
      <w:r>
        <w:rPr>
          <w:rFonts w:ascii="Times New Roman" w:cs="Times New Roman" w:eastAsia="SimSun" w:hAnsi="Times New Roman"/>
        </w:rPr>
        <w:t xml:space="preserve"> 倍。这与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理论一致（阈值邻域关联长度发散，有限系统的偏离在此最大），也与均场那个不随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消失的平台形成对照。即便如此，生产运行仍须在阈值邻域做有限尺寸标度外推，不能直接引用有限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(40) 逐点吻合。需要说明，图 2(c) 的纵轴由 (37)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(40)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(44)。均场阈值 (42)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阈值本身也已由仿真独立测定，此前它只是理论值。亚临界区单个种子引发的簇平均总规模为 </w:t>
      </w:r>
      <w:r>
        <w:rPr>
          <w:rFonts w:ascii="Cambria Math" w:eastAsia="SimSun" w:hAnsi="Cambria Math"/>
          <w:i w:val="false"/>
          <w:iCs w:val="false"/>
        </w:rPr>
        <w:t xml:space="preserve">1/(1-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(∞)→1-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(λ)</w:t>
      </w:r>
      <w:r>
        <w:rPr>
          <w:rFonts w:ascii="Times New Roman" w:cs="Times New Roman" w:eastAsia="SimSun" w:hAnsi="Times New Roman"/>
        </w:rPr>
        <w:t xml:space="preserve">，该量在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处归零。在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上取 </w:t>
      </w:r>
      <w:r>
        <w:rPr>
          <w:rFonts w:ascii="Cambria Math" w:eastAsia="SimSun" w:hAnsi="Cambria Math"/>
          <w:i w:val="false"/>
          <w:iCs w:val="false"/>
        </w:rPr>
        <w:t xml:space="preserve">λ/λ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∈[0.4,0.8]</w:t>
      </w:r>
      <w:r>
        <w:rPr>
          <w:rFonts w:ascii="Times New Roman" w:cs="Times New Roman" w:eastAsia="SimSun" w:hAnsi="Times New Roman"/>
        </w:rPr>
        <w:t xml:space="preserve"> 五点、初始感染比例 </w:t>
      </w:r>
      <w:r>
        <w:rPr>
          <w:rFonts w:ascii="Cambria Math" w:eastAsia="SimSun" w:hAnsi="Cambria Math"/>
          <w:i w:val="false"/>
          <w:iCs w:val="false"/>
        </w:rPr>
        <w:t xml:space="preserve">ε=0.002</w:t>
      </w:r>
      <w:r>
        <w:rPr>
          <w:rFonts w:ascii="Times New Roman" w:cs="Times New Roman" w:eastAsia="SimSun" w:hAnsi="Times New Roman"/>
        </w:rPr>
        <w:t xml:space="preserve">、每点 </w:t>
      </w:r>
      <w:r>
        <w:rPr>
          <w:rFonts w:ascii="Cambria Math" w:eastAsia="SimSun" w:hAnsi="Cambria Math"/>
          <w:i w:val="false"/>
          <w:iCs w:val="false"/>
        </w:rPr>
        <w:t xml:space="preserve">1500</w:t>
      </w:r>
      <w:r>
        <w:rPr>
          <w:rFonts w:ascii="Times New Roman" w:cs="Times New Roman" w:eastAsia="SimSun" w:hAnsi="Times New Roman"/>
        </w:rPr>
        <w:t xml:space="preserve"> 次实现，加权外推得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=0.3410±0.0058</w:t>
      </w:r>
      <w:r>
        <w:rPr>
          <w:rFonts w:ascii="Times New Roman" w:cs="Times New Roman" w:eastAsia="SimSun" w:hAnsi="Times New Roman"/>
        </w:rPr>
        <w:t xml:space="preserve">，与 (37) 给出的 </w:t>
      </w:r>
      <w:r>
        <w:rPr>
          <w:rFonts w:ascii="Cambria Math" w:eastAsia="SimSun" w:hAnsi="Cambria Math"/>
          <w:i w:val="false"/>
          <w:iCs w:val="false"/>
        </w:rPr>
        <w:t xml:space="preserve">0.3327</w:t>
      </w:r>
      <w:r>
        <w:rPr>
          <w:rFonts w:ascii="Times New Roman" w:cs="Times New Roman" w:eastAsia="SimSun" w:hAnsi="Times New Roman"/>
        </w:rPr>
        <w:t xml:space="preserve"> 相差 </w:t>
      </w:r>
      <w:r>
        <w:rPr>
          <w:rFonts w:ascii="Cambria Math" w:eastAsia="SimSun" w:hAnsi="Cambria Math"/>
          <w:i w:val="false"/>
          <w:iCs w:val="false"/>
        </w:rPr>
        <w:t xml:space="preserve">1.4σ</w:t>
      </w:r>
      <w:r>
        <w:rPr>
          <w:rFonts w:ascii="Times New Roman" w:cs="Times New Roman" w:eastAsia="SimSun" w:hAnsi="Times New Roman"/>
        </w:rPr>
        <w:t xml:space="preserve">。拟合斜率给出 </w:t>
      </w:r>
      <w:r>
        <w:rPr>
          <w:rFonts w:ascii="Cambria Math" w:eastAsia="SimSun" w:hAnsi="Cambria Math"/>
          <w:i w:val="false"/>
          <w:iCs w:val="false"/>
        </w:rPr>
        <w:t xml:space="preserve">τκ-1=2.85±0.05</w:t>
      </w:r>
      <w:r>
        <w:rPr>
          <w:rFonts w:ascii="Times New Roman" w:cs="Times New Roman" w:eastAsia="SimSun" w:hAnsi="Times New Roman"/>
        </w:rPr>
        <w:t xml:space="preserve">，较公式值 </w:t>
      </w:r>
      <w:r>
        <w:rPr>
          <w:rFonts w:ascii="Cambria Math" w:eastAsia="SimSun" w:hAnsi="Cambria Math"/>
          <w:i w:val="false"/>
          <w:iCs w:val="false"/>
        </w:rPr>
        <w:t xml:space="preserve">3.01</w:t>
      </w:r>
      <w:r>
        <w:rPr>
          <w:rFonts w:ascii="Times New Roman" w:cs="Times New Roman" w:eastAsia="SimSun" w:hAnsi="Times New Roman"/>
        </w:rPr>
        <w:t xml:space="preserve"> 低约 </w:t>
      </w:r>
      <w:r>
        <w:rPr>
          <w:rFonts w:ascii="Cambria Math" w:eastAsia="SimSun" w:hAnsi="Cambria Math"/>
          <w:i w:val="false"/>
          <w:iCs w:val="false"/>
        </w:rPr>
        <w:t xml:space="preserve">5%</w:t>
      </w:r>
      <w:r>
        <w:rPr>
          <w:rFonts w:ascii="Times New Roman" w:cs="Times New Roman" w:eastAsia="SimSun" w:hAnsi="Times New Roman"/>
        </w:rPr>
        <w:t xml:space="preserve">；这一偏低方向是预期的——纯分支形式忽略易感耗尽与不同种子所生簇的重叠，二者都压低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，从而抬高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Allard, C. Moore, S. V. Scarpino, B. M. Althouse, L. Hébert-Dufresne, </w:t>
      </w:r>
      <w:r>
        <w:rPr>
          <w:rFonts w:ascii="Times New Roman" w:cs="Times New Roman" w:eastAsia="SimSun" w:hAnsi="Times New Roman"/>
          <w:i/>
          <w:iCs/>
        </w:rPr>
        <w:t xml:space="preserve">SIAM Review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65</w:t>
      </w:r>
      <w:r>
        <w:rPr>
          <w:rFonts w:ascii="Times New Roman" w:cs="Times New Roman" w:eastAsia="SimSun" w:hAnsi="Times New Roman"/>
        </w:rPr>
        <w:t xml:space="preserve">, 471–492 (2023). doi:10.1137/20M1383811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2026-08-09T16:38:56.666Z</dcterms:created>
  <dcterms:modified xsi:type="dcterms:W3CDTF">2026-08-09T16:38:56.666Z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