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个尾成员共同驱动——激活时长是各成员感染期之并，闭合变量不能逐成员相乘。以尾集中易感、感染、康复的成员计数为状态，可把"尚未传递"写成一条以传递事件为消灭机制的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35]。动力学一侧则少得多，据我们所知以 Li 等的工作为主：他们在有向超图上建立社会传播模型，发现双稳区间随有向强度减弱而收缩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个尾成员共同驱动——激活时长是各成员感染期之并，因而闭合变量不能逐成员相乘。以尾集中易感、感染、康复的成员计数为状态，可把"尚未传递"写成一条以传递事件为消灭机制的 Markov 链——等价于给该链添一个"已传递"的吸收态——得到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</w:t>
      </w:r>
      <w:r>
        <w:rPr>
          <w:rFonts w:ascii="Times New Roman" w:cs="Times New Roman" w:eastAsia="SimSun" w:hAnsi="Times New Roman"/>
          <w:b/>
          <w:bCs/>
        </w:rPr>
        <w:t xml:space="preserve">阈值型</w:t>
      </w:r>
      <w:r>
        <w:rPr>
          <w:rFonts w:ascii="Times New Roman" w:cs="Times New Roman" w:eastAsia="SimSun" w:hAnsi="Times New Roman"/>
        </w:rPr>
        <w:t xml:space="preserve">级联中，正的入出度相关在较宽的平均入度范围内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之外添一个"已传递"的吸收态，则整体是一条标准的连续时间 Markov 链，而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</w:t>
      </w:r>
      <w:r>
        <w:rPr>
          <w:rFonts w:ascii="Times New Roman" w:cs="Times New Roman" w:eastAsia="SimSun" w:hAnsi="Times New Roman"/>
          <w:b/>
          <w:bCs/>
        </w:rPr>
        <w:t xml:space="preserve">子概率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；概率论中这称为以速率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消灭</w:t>
      </w:r>
      <w:r>
        <w:rPr>
          <w:rFonts w:ascii="Times New Roman" w:cs="Times New Roman" w:eastAsia="SimSun" w:hAnsi="Times New Roman"/>
        </w:rPr>
        <w:t xml:space="preserve">（killing）的 Markov 链，其半群为次随机的，而 (22) 正是它的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</w:t>
      </w:r>
      <w:r>
        <w:rPr>
          <w:rFonts w:ascii="Times New Roman" w:cs="Times New Roman" w:eastAsia="SimSun" w:hAnsi="Times New Roman"/>
          <w:b/>
          <w:bCs/>
        </w:rPr>
        <w:t xml:space="preserve">整个闭合而不止阈值都看不见重叠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2026-08-09T17:20:14.530Z</dcterms:created>
  <dcterms:modified xsi:type="dcterms:W3CDTF">2026-08-09T17:20:14.532Z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