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[1, 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把概率移出"未传递"类。等价地，在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之外添一个"已传递"的吸收态，则整体是一条标准的连续时间 Markov 链，而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是其未被吸收部分的</w:t>
      </w:r>
      <w:r>
        <w:rPr>
          <w:rFonts w:ascii="Times New Roman" w:cs="Times New Roman" w:eastAsia="SimSun" w:hAnsi="Times New Roman"/>
          <w:b/>
          <w:bCs/>
        </w:rPr>
        <w:t xml:space="preserve">子概率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</w:rPr>
        <w:t xml:space="preserve">=Φ≤1</w:t>
      </w:r>
      <w:r>
        <w:rPr>
          <w:rFonts w:ascii="Times New Roman" w:cs="Times New Roman" w:eastAsia="SimSun" w:hAnsi="Times New Roman"/>
        </w:rPr>
        <w:t xml:space="preserve">；概率论中这称为以速率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消灭</w:t>
      </w:r>
      <w:r>
        <w:rPr>
          <w:rFonts w:ascii="Times New Roman" w:cs="Times New Roman" w:eastAsia="SimSun" w:hAnsi="Times New Roman"/>
        </w:rPr>
        <w:t xml:space="preserve">（killing）的 Markov 链，其半群为次随机的，而 (22) 正是它的 Feynman–Kac 表示。据此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[2]——依次为伙伴处于易感、已感染但尚未传递、已康复且未曾传递的概率——唯一的实质替换是把余度生成函数换成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有必要把"求解"的含义说清楚。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时，(24) 与 (29)–(30)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III.E 逐项校验；爆发阈值 (37)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(44)。但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</w:t>
      </w:r>
      <w:r>
        <w:rPr>
          <w:rFonts w:ascii="Times New Roman" w:cs="Times New Roman" w:eastAsia="SimSun" w:hAnsi="Times New Roman"/>
          <w:b/>
          <w:bCs/>
        </w:rPr>
        <w:t xml:space="preserve">没有</w:t>
      </w:r>
      <w:r>
        <w:rPr>
          <w:rFonts w:ascii="Times New Roman" w:cs="Times New Roman" w:eastAsia="SimSun" w:hAnsi="Times New Roman"/>
        </w:rPr>
        <w:t xml:space="preserve">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(23)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中只有消灭项的指示函数依赖于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。一阶量是恰有一个尾成员曾被感染的两个态，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；判据是曾被感染的成员数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的态为二阶——注意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τ-2,1,1</w:t>
      </w:r>
      <w:r>
        <w:rPr>
          <w:rFonts w:ascii="Times New Roman" w:cs="Times New Roman" w:eastAsia="SimSun" w:hAnsi="Times New Roman"/>
        </w:rPr>
        <w:t xml:space="preserve"> 虽然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也在其中。由两个种子规模积分读出各态随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的幂次，测得阶数逐态等于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，见 </w:t>
      </w:r>
      <w:r>
        <w:rPr>
          <w:rFonts w:ascii="Consolas" w:eastAsia="SimSun" w:hAnsi="Consolas"/>
        </w:rPr>
        <w:t xml:space="preserve">tools/check_order_counting.py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的一阶部分因而只有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[3]。由握手关系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[3, 4, 5]。[4]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，[3]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[3]；(40)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的系数。需要提醒的是这一方向并非普适于一切传播机制：有向网络的阈值型级联中，正的入出度相关反而</w:t>
      </w:r>
      <w:r>
        <w:rPr>
          <w:rFonts w:ascii="Times New Roman" w:cs="Times New Roman" w:eastAsia="SimSun" w:hAnsi="Times New Roman"/>
          <w:b/>
          <w:bCs/>
        </w:rPr>
        <w:t xml:space="preserve">提高</w:t>
      </w:r>
      <w:r>
        <w:rPr>
          <w:rFonts w:ascii="Times New Roman" w:cs="Times New Roman" w:eastAsia="SimSun" w:hAnsi="Times New Roman"/>
        </w:rPr>
        <w:t xml:space="preserve">系统稳健性 [6]。二者并不冲突——阈值模型按活跃邻居的比例判定激活，高入度抬高激活门槛；SIR 中高入度只增加暴露，故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）。更强地说，(24) 与 (25) 也只读取双度序列，故</w:t>
      </w:r>
      <w:r>
        <w:rPr>
          <w:rFonts w:ascii="Times New Roman" w:cs="Times New Roman" w:eastAsia="SimSun" w:hAnsi="Times New Roman"/>
          <w:b/>
          <w:bCs/>
        </w:rPr>
        <w:t xml:space="preserve">整个闭合而不止阈值都看不见重叠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。由 II.C 的求和规则，双度序列锁死的只是四个通道的重叠总量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，并不锁死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本身，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因而在固定度序列下仍是可动的自由度。这不是疏漏而是可检验的预言：重叠恰好度量超边之间共享节点的程度，也就是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的作用只体现在阈值以外的量上。但须说明，可动不等于易动：单纯的保度双边交换只能把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挪动 </w:t>
      </w:r>
      <w:r>
        <w:rPr>
          <w:rFonts w:ascii="Cambria Math" w:eastAsia="SimSun" w:hAnsi="Cambria Math"/>
          <w:i w:val="false"/>
          <w:iCs w:val="false"/>
        </w:rPr>
        <w:t xml:space="preserve">0.005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0.006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=150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两处测量），在如此窄的区间上仿真的变化不可分辨，因而检验这一预言必须先有第 V 节的定向重连工具把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推到有意义的范围。极性失衡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是例外，它可被驱动到 </w:t>
      </w:r>
      <w:r>
        <w:rPr>
          <w:rFonts w:ascii="Cambria Math" w:eastAsia="SimSun" w:hAnsi="Cambria Math"/>
          <w:i w:val="false"/>
          <w:iCs w:val="false"/>
        </w:rPr>
        <w:t xml:space="preserve">0.108</w:t>
      </w:r>
      <w:r>
        <w:rPr>
          <w:rFonts w:ascii="Times New Roman" w:cs="Times New Roman" w:eastAsia="SimSun" w:hAnsi="Times New Roman"/>
        </w:rPr>
        <w:t xml:space="preserve">，故第 VI 节对它的上界测量不受此限。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[1, 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[7]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[8]，取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）。偏差在亚临界区与阈值邻域一律为正，并在阈值邻域出现尖峰，深超临界区则收敛到零。这一高估是有限尺寸效应而非闭合误差，已直接验证：在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L. Hébert-Dufresne, </w:t>
      </w:r>
      <w:r>
        <w:rPr>
          <w:rFonts w:ascii="Times New Roman" w:cs="Times New Roman" w:eastAsia="SimSun" w:hAnsi="Times New Roman"/>
          <w:i/>
          <w:iCs/>
        </w:rPr>
        <w:t xml:space="preserve">SIAM Review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65</w:t>
      </w:r>
      <w:r>
        <w:rPr>
          <w:rFonts w:ascii="Times New Roman" w:cs="Times New Roman" w:eastAsia="SimSun" w:hAnsi="Times New Roman"/>
        </w:rPr>
        <w:t xml:space="preserve">, 471–492 (2023). doi:10.1137/20M1383811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2026-08-09T17:20:15.066Z</dcterms:created>
  <dcterms:modified xsi:type="dcterms:W3CDTF">2026-08-09T17:20:15.066Z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