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20201E"/>
          <w:sz w:val="34"/>
          <w:szCs w:val="34"/>
        </w:rPr>
        <w:t xml:space="preserve">由亚临界终态外推测定 λc </w:t>
      </w:r>
      <w:r>
        <w:rPr>
          <w:rFonts w:ascii="Calibri" w:cs="Calibri" w:eastAsia="Calibri" w:hAnsi="Calibri"/>
          <w:b/>
          <w:bCs/>
          <w:color w:val="2F5D57"/>
          <w:sz w:val="26"/>
          <w:szCs w:val="26"/>
        </w:rPr>
        <w:t xml:space="preserve">（数据、结果与图 2 说明）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6B6A63"/>
          <w:sz w:val="20"/>
          <w:szCs w:val="20"/>
        </w:rPr>
        <w:t xml:space="preserve">多重超图上的 SIR 传播 · 群体闭合理论的第三条独立阈值复核</w:t>
      </w:r>
    </w:p>
    <w:p>
      <w:pPr>
        <w:pBdr>
          <w:bottom w:val="single" w:color="D8D8D2" w:sz="6"/>
        </w:pBdr>
        <w:spacing w:after="120" w:before="60"/>
      </w:pPr>
    </w:p>
    <w:p>
      <w:pPr>
        <w:pStyle w:val="Heading1"/>
        <w:spacing w:after="100" w:before="240"/>
      </w:pPr>
      <w:r>
        <w:rPr>
          <w:rFonts w:ascii="Calibri" w:cs="Calibri" w:eastAsia="Calibri" w:hAnsi="Calibri"/>
          <w:b/>
          <w:bCs/>
          <w:color w:val="2F5D57"/>
          <w:sz w:val="28"/>
          <w:szCs w:val="28"/>
        </w:rPr>
        <w:t xml:space="preserve">1  方法概述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0201E"/>
          <w:sz w:val="20"/>
          <w:szCs w:val="20"/>
        </w:rPr>
        <w:t xml:space="preserve">阈值 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λ</w:t>
      </w:r>
      <w:r>
        <w:rPr>
          <w:rFonts w:ascii="Calibri" w:cs="Calibri" w:eastAsia="Calibri" w:hAnsi="Calibri"/>
          <w:color w:val="20201E"/>
          <w:sz w:val="20"/>
          <w:szCs w:val="20"/>
          <w:vertAlign w:val="subscript"/>
        </w:rPr>
        <w:t xml:space="preserve">c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 的第三条独立复核不经由线性化，而由亚临界终态的规模发散给出。取一个小的初始感染比例 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ε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（每个节点独立以概率 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ε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 置为感染态），在 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λ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 &lt; 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λ</w:t>
      </w:r>
      <w:r>
        <w:rPr>
          <w:rFonts w:ascii="Calibri" w:cs="Calibri" w:eastAsia="Calibri" w:hAnsi="Calibri"/>
          <w:color w:val="20201E"/>
          <w:sz w:val="20"/>
          <w:szCs w:val="20"/>
          <w:vertAlign w:val="subscript"/>
        </w:rPr>
        <w:t xml:space="preserve">c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 处将群体闭合方程组 (2.2)、(2.4)–(2.6) 积分至终态，由 I(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∞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)=0 得最终规模 R(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∞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) = 1 − (1−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ε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)·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Ψ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(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Φ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(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∞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)).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0201E"/>
          <w:sz w:val="20"/>
          <w:szCs w:val="20"/>
        </w:rPr>
        <w:t xml:space="preserve">亚临界簇的平均总规模为 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χ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(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λ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) = 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𝟙</w:t>
      </w:r>
      <w:r>
        <w:rPr>
          <w:rFonts w:ascii="Calibri" w:cs="Calibri" w:eastAsia="Calibri" w:hAnsi="Calibri"/>
          <w:color w:val="20201E"/>
          <w:sz w:val="20"/>
          <w:szCs w:val="20"/>
          <w:vertAlign w:val="superscript"/>
        </w:rPr>
        <w:t xml:space="preserve">ᵀ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(I−N)</w:t>
      </w:r>
      <w:r>
        <w:rPr>
          <w:rFonts w:ascii="Calibri" w:cs="Calibri" w:eastAsia="Calibri" w:hAnsi="Calibri"/>
          <w:color w:val="20201E"/>
          <w:sz w:val="20"/>
          <w:szCs w:val="20"/>
          <w:vertAlign w:val="superscript"/>
        </w:rPr>
        <w:t xml:space="preserve">−1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v</w:t>
      </w:r>
      <w:r>
        <w:rPr>
          <w:rFonts w:ascii="Calibri" w:cs="Calibri" w:eastAsia="Calibri" w:hAnsi="Calibri"/>
          <w:color w:val="20201E"/>
          <w:sz w:val="20"/>
          <w:szCs w:val="20"/>
          <w:vertAlign w:val="subscript"/>
        </w:rPr>
        <w:t xml:space="preserve">0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，在 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ρ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(N)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→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1</w:t>
      </w:r>
      <w:r>
        <w:rPr>
          <w:rFonts w:ascii="Calibri" w:cs="Calibri" w:eastAsia="Calibri" w:hAnsi="Calibri"/>
          <w:color w:val="20201E"/>
          <w:sz w:val="20"/>
          <w:szCs w:val="20"/>
          <w:vertAlign w:val="superscript"/>
        </w:rPr>
        <w:t xml:space="preserve">−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 时按 (1−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ρ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)</w:t>
      </w:r>
      <w:r>
        <w:rPr>
          <w:rFonts w:ascii="Calibri" w:cs="Calibri" w:eastAsia="Calibri" w:hAnsi="Calibri"/>
          <w:color w:val="20201E"/>
          <w:sz w:val="20"/>
          <w:szCs w:val="20"/>
          <w:vertAlign w:val="superscript"/>
        </w:rPr>
        <w:t xml:space="preserve">−1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 发散；因而其倒数 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ε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/R(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∞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) = 1/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χ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 随 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λ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 线性趋零，零点即 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λ</w:t>
      </w:r>
      <w:r>
        <w:rPr>
          <w:rFonts w:ascii="Calibri" w:cs="Calibri" w:eastAsia="Calibri" w:hAnsi="Calibri"/>
          <w:color w:val="20201E"/>
          <w:sz w:val="20"/>
          <w:szCs w:val="20"/>
          <w:vertAlign w:val="subscript"/>
        </w:rPr>
        <w:t xml:space="preserve">c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。有限种子的偏置由 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ε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→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0 的 Richardson 外推消去。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0201E"/>
          <w:sz w:val="20"/>
          <w:szCs w:val="20"/>
        </w:rPr>
        <w:t xml:space="preserve">该路径与 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ρ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(N)=1 的特征值计算</w:t>
      </w:r>
      <w:r>
        <w:rPr>
          <w:rFonts w:ascii="Calibri" w:cs="Calibri" w:eastAsia="Calibri" w:hAnsi="Calibri"/>
          <w:b/>
          <w:bCs/>
          <w:color w:val="20201E"/>
          <w:sz w:val="20"/>
          <w:szCs w:val="20"/>
        </w:rPr>
        <w:t xml:space="preserve">不共享代码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：一侧是非线性方程组积分至终态再作线性拟合，另一侧是次代矩阵 N 的谱半径二分。两者仅共享模型定义，故构成一次真正独立的比对。</w:t>
      </w:r>
    </w:p>
    <w:p>
      <w:pPr>
        <w:pStyle w:val="Heading1"/>
        <w:spacing w:after="100" w:before="240"/>
      </w:pPr>
      <w:r>
        <w:rPr>
          <w:rFonts w:ascii="Calibri" w:cs="Calibri" w:eastAsia="Calibri" w:hAnsi="Calibri"/>
          <w:b/>
          <w:bCs/>
          <w:color w:val="2F5D57"/>
          <w:sz w:val="28"/>
          <w:szCs w:val="28"/>
        </w:rPr>
        <w:t xml:space="preserve">2  理论正确性校验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0201E"/>
          <w:sz w:val="20"/>
          <w:szCs w:val="20"/>
        </w:rPr>
        <w:t xml:space="preserve">在引入结果之前先确立理论自身的可信度。下表汇总解析锚点与闭合方程组的内部自检，全部通过。</w:t>
      </w:r>
    </w:p>
    <w:tbl>
      <w:tblPr>
        <w:tblW w:type="dxa" w:w="9560"/>
        <w:tblBorders>
          <w:top w:val="single" w:color="BFC6C4" w:sz="4"/>
          <w:left w:val="none"/>
          <w:bottom w:val="single" w:color="BFC6C4" w:sz="4"/>
          <w:right w:val="none"/>
          <w:insideH w:val="single" w:color="E2E2DC" w:sz="2"/>
          <w:insideV w:val="none"/>
        </w:tblBorders>
      </w:tblPr>
      <w:tblGrid>
        <w:gridCol w:w="3100"/>
        <w:gridCol w:w="2400"/>
        <w:gridCol w:w="3060"/>
        <w:gridCol w:w="1000"/>
      </w:tblGrid>
      <w:tr>
        <w:trPr>
          <w:cantSplit/>
          <w:tblHeader/>
        </w:trPr>
        <w:tc>
          <w:tcPr>
            <w:tcW w:type="dxa" w:w="3100"/>
            <w:shd w:fill="E7F1E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F5D57"/>
                <w:sz w:val="18"/>
                <w:szCs w:val="18"/>
              </w:rPr>
              <w:t xml:space="preserve">校验项</w:t>
            </w:r>
          </w:p>
        </w:tc>
        <w:tc>
          <w:tcPr>
            <w:tcW w:type="dxa" w:w="2400"/>
            <w:shd w:fill="E7F1E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5D57"/>
                <w:sz w:val="18"/>
                <w:szCs w:val="18"/>
              </w:rPr>
              <w:t xml:space="preserve">期望</w:t>
            </w:r>
          </w:p>
        </w:tc>
        <w:tc>
          <w:tcPr>
            <w:tcW w:type="dxa" w:w="3060"/>
            <w:shd w:fill="E7F1E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5D57"/>
                <w:sz w:val="18"/>
                <w:szCs w:val="18"/>
              </w:rPr>
              <w:t xml:space="preserve">计算结果</w:t>
            </w:r>
          </w:p>
        </w:tc>
        <w:tc>
          <w:tcPr>
            <w:tcW w:type="dxa" w:w="1000"/>
            <w:shd w:fill="E7F1E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5D57"/>
                <w:sz w:val="18"/>
                <w:szCs w:val="18"/>
              </w:rPr>
              <w:t xml:space="preserve">状态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0201E"/>
                <w:sz w:val="18"/>
                <w:szCs w:val="18"/>
              </w:rPr>
              <w:t xml:space="preserve">C(2,λ,1) = λ/(1+λ)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0201E"/>
                <w:sz w:val="18"/>
                <w:szCs w:val="18"/>
              </w:rPr>
              <w:t xml:space="preserve">精确</w:t>
            </w:r>
          </w:p>
        </w:tc>
        <w:tc>
          <w:tcPr>
            <w:tcW w:type="dxa" w:w="30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0201E"/>
                <w:sz w:val="18"/>
                <w:szCs w:val="18"/>
              </w:rPr>
              <w:t xml:space="preserve">λ=0.13/0.35/1/2 均到 10</w:t>
            </w:r>
            <w:r>
              <w:rPr>
                <w:rFonts w:ascii="Calibri" w:cs="Calibri" w:eastAsia="Calibri" w:hAnsi="Calibri"/>
                <w:color w:val="20201E"/>
                <w:sz w:val="18"/>
                <w:szCs w:val="18"/>
                <w:vertAlign w:val="superscript"/>
              </w:rPr>
              <w:t xml:space="preserve">−12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0201E"/>
                <w:sz w:val="18"/>
                <w:szCs w:val="18"/>
              </w:rPr>
              <w:t xml:space="preserve">通过</w:t>
            </w:r>
          </w:p>
        </w:tc>
      </w:tr>
      <w:tr>
        <w:trPr>
          <w:cantSplit/>
          <w:tblHeader w:val="false"/>
        </w:trPr>
        <w:tc>
          <w:tcPr>
            <w:tcW w:type="dxa" w:w="310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0201E"/>
                <w:sz w:val="18"/>
                <w:szCs w:val="18"/>
              </w:rPr>
              <w:t xml:space="preserve">C(3,4,5; λ=1) 超出 (m−1)T</w:t>
            </w:r>
          </w:p>
        </w:tc>
        <w:tc>
          <w:tcPr>
            <w:tcW w:type="dxa" w:w="240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0201E"/>
                <w:sz w:val="18"/>
                <w:szCs w:val="18"/>
              </w:rPr>
              <w:t xml:space="preserve">11 / 22 / 31 %</w:t>
            </w:r>
          </w:p>
        </w:tc>
        <w:tc>
          <w:tcPr>
            <w:tcW w:type="dxa" w:w="306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0201E"/>
                <w:sz w:val="18"/>
                <w:szCs w:val="18"/>
              </w:rPr>
              <w:t xml:space="preserve">11.11 / 21.53 / 31.05 %</w:t>
            </w:r>
          </w:p>
        </w:tc>
        <w:tc>
          <w:tcPr>
            <w:tcW w:type="dxa" w:w="100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0201E"/>
                <w:sz w:val="18"/>
                <w:szCs w:val="18"/>
              </w:rPr>
              <w:t xml:space="preserve">通过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0201E"/>
                <w:sz w:val="18"/>
                <w:szCs w:val="18"/>
              </w:rPr>
              <w:t xml:space="preserve">单种子激活 θ≥2 的群体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0201E"/>
                <w:sz w:val="18"/>
                <w:szCs w:val="18"/>
              </w:rPr>
              <w:t xml:space="preserve">C = 0</w:t>
            </w:r>
          </w:p>
        </w:tc>
        <w:tc>
          <w:tcPr>
            <w:tcW w:type="dxa" w:w="30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0201E"/>
                <w:sz w:val="18"/>
                <w:szCs w:val="18"/>
              </w:rPr>
              <w:t xml:space="preserve">0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0201E"/>
                <w:sz w:val="18"/>
                <w:szCs w:val="18"/>
              </w:rPr>
              <w:t xml:space="preserve">通过</w:t>
            </w:r>
          </w:p>
        </w:tc>
      </w:tr>
      <w:tr>
        <w:trPr>
          <w:cantSplit/>
          <w:tblHeader w:val="false"/>
        </w:trPr>
        <w:tc>
          <w:tcPr>
            <w:tcW w:type="dxa" w:w="310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0201E"/>
                <w:sz w:val="17"/>
                <w:szCs w:val="17"/>
              </w:rPr>
              <w:t xml:space="preserve">Anchor A: P={(2,2),(3,3)}, m=(3,3), λ=0.13</w:t>
            </w:r>
          </w:p>
        </w:tc>
        <w:tc>
          <w:tcPr>
            <w:tcW w:type="dxa" w:w="240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0201E"/>
                <w:sz w:val="18"/>
                <w:szCs w:val="18"/>
              </w:rPr>
              <w:t xml:space="preserve">ρ(N) = 1.013</w:t>
            </w:r>
          </w:p>
        </w:tc>
        <w:tc>
          <w:tcPr>
            <w:tcW w:type="dxa" w:w="306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0201E"/>
                <w:sz w:val="18"/>
                <w:szCs w:val="18"/>
              </w:rPr>
              <w:t xml:space="preserve">N</w:t>
            </w:r>
            <w:r>
              <w:rPr>
                <w:rFonts w:ascii="Calibri" w:cs="Calibri" w:eastAsia="Calibri" w:hAnsi="Calibri"/>
                <w:color w:val="20201E"/>
                <w:sz w:val="18"/>
                <w:szCs w:val="18"/>
                <w:vertAlign w:val="subscript"/>
              </w:rPr>
              <w:t xml:space="preserve">11</w:t>
            </w:r>
            <w:r>
              <w:rPr>
                <w:rFonts w:ascii="Calibri" w:cs="Calibri" w:eastAsia="Calibri" w:hAnsi="Calibri"/>
                <w:color w:val="20201E"/>
                <w:sz w:val="18"/>
                <w:szCs w:val="18"/>
              </w:rPr>
              <w:t xml:space="preserve">=0.3860, ρ=1.0132</w:t>
            </w:r>
          </w:p>
        </w:tc>
        <w:tc>
          <w:tcPr>
            <w:tcW w:type="dxa" w:w="100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0201E"/>
                <w:sz w:val="18"/>
                <w:szCs w:val="18"/>
              </w:rPr>
              <w:t xml:space="preserve">通过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0201E"/>
                <w:sz w:val="18"/>
                <w:szCs w:val="18"/>
              </w:rPr>
              <w:t xml:space="preserve">成对退化 5-正则单层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0201E"/>
                <w:sz w:val="20"/>
                <w:szCs w:val="20"/>
              </w:rPr>
              <w:t xml:space="preserve">λ</w:t>
            </w:r>
            <w:r>
              <w:rPr>
                <w:rFonts w:ascii="Calibri" w:cs="Calibri" w:eastAsia="Calibri" w:hAnsi="Calibri"/>
                <w:color w:val="20201E"/>
                <w:sz w:val="20"/>
                <w:szCs w:val="20"/>
                <w:vertAlign w:val="subscript"/>
              </w:rPr>
              <w:t xml:space="preserve">c</w:t>
            </w:r>
            <w:r>
              <w:rPr>
                <w:rFonts w:ascii="Calibri" w:cs="Calibri" w:eastAsia="Calibri" w:hAnsi="Calibri"/>
                <w:color w:val="20201E"/>
                <w:sz w:val="18"/>
                <w:szCs w:val="18"/>
              </w:rPr>
              <w:t xml:space="preserve"> = 1/3</w:t>
            </w:r>
          </w:p>
        </w:tc>
        <w:tc>
          <w:tcPr>
            <w:tcW w:type="dxa" w:w="30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0201E"/>
                <w:sz w:val="18"/>
                <w:szCs w:val="18"/>
              </w:rPr>
              <w:t xml:space="preserve">0.3333333333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0201E"/>
                <w:sz w:val="18"/>
                <w:szCs w:val="18"/>
              </w:rPr>
              <w:t xml:space="preserve">通过</w:t>
            </w:r>
          </w:p>
        </w:tc>
      </w:tr>
      <w:tr>
        <w:trPr>
          <w:cantSplit/>
          <w:tblHeader w:val="false"/>
        </w:trPr>
        <w:tc>
          <w:tcPr>
            <w:tcW w:type="dxa" w:w="310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0201E"/>
                <w:sz w:val="18"/>
                <w:szCs w:val="18"/>
              </w:rPr>
              <w:t xml:space="preserve">Anchor B: θ=2 通道出列</w:t>
            </w:r>
          </w:p>
        </w:tc>
        <w:tc>
          <w:tcPr>
            <w:tcW w:type="dxa" w:w="240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0201E"/>
                <w:sz w:val="18"/>
                <w:szCs w:val="18"/>
              </w:rPr>
              <w:t xml:space="preserve">阈值不变</w:t>
            </w:r>
          </w:p>
        </w:tc>
        <w:tc>
          <w:tcPr>
            <w:tcW w:type="dxa" w:w="306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0201E"/>
                <w:sz w:val="18"/>
                <w:szCs w:val="18"/>
              </w:rPr>
              <w:t xml:space="preserve">C=0，精确相等</w:t>
            </w:r>
          </w:p>
        </w:tc>
        <w:tc>
          <w:tcPr>
            <w:tcW w:type="dxa" w:w="100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0201E"/>
                <w:sz w:val="18"/>
                <w:szCs w:val="18"/>
              </w:rPr>
              <w:t xml:space="preserve">通过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0201E"/>
                <w:sz w:val="18"/>
                <w:szCs w:val="18"/>
              </w:rPr>
              <w:t xml:space="preserve">Anchor B: 大纲 0.410619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0201E"/>
                <w:sz w:val="18"/>
                <w:szCs w:val="18"/>
              </w:rPr>
              <w:t xml:space="preserve">ρ值 × (1+2.5%)</w:t>
            </w:r>
          </w:p>
        </w:tc>
        <w:tc>
          <w:tcPr>
            <w:tcW w:type="dxa" w:w="30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0201E"/>
                <w:sz w:val="18"/>
                <w:szCs w:val="18"/>
              </w:rPr>
              <w:t xml:space="preserve">0.400567 × 1.0251 = +2.51%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0201E"/>
                <w:sz w:val="18"/>
                <w:szCs w:val="18"/>
              </w:rPr>
              <w:t xml:space="preserve">通过</w:t>
            </w:r>
          </w:p>
        </w:tc>
      </w:tr>
      <w:tr>
        <w:trPr>
          <w:cantSplit/>
          <w:tblHeader w:val="false"/>
        </w:trPr>
        <w:tc>
          <w:tcPr>
            <w:tcW w:type="dxa" w:w="310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0201E"/>
                <w:sz w:val="18"/>
                <w:szCs w:val="18"/>
              </w:rPr>
              <w:t xml:space="preserve">求和规则 (2.6)</w:t>
            </w:r>
          </w:p>
        </w:tc>
        <w:tc>
          <w:tcPr>
            <w:tcW w:type="dxa" w:w="240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0201E"/>
                <w:sz w:val="18"/>
                <w:szCs w:val="18"/>
              </w:rPr>
              <w:t xml:space="preserve">≈ 0</w:t>
            </w:r>
          </w:p>
        </w:tc>
        <w:tc>
          <w:tcPr>
            <w:tcW w:type="dxa" w:w="306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0201E"/>
                <w:sz w:val="18"/>
                <w:szCs w:val="18"/>
              </w:rPr>
              <w:t xml:space="preserve">残差 ~ 10</w:t>
            </w:r>
            <w:r>
              <w:rPr>
                <w:rFonts w:ascii="Calibri" w:cs="Calibri" w:eastAsia="Calibri" w:hAnsi="Calibri"/>
                <w:color w:val="20201E"/>
                <w:sz w:val="18"/>
                <w:szCs w:val="18"/>
                <w:vertAlign w:val="superscript"/>
              </w:rPr>
              <w:t xml:space="preserve">−17</w:t>
            </w:r>
          </w:p>
        </w:tc>
        <w:tc>
          <w:tcPr>
            <w:tcW w:type="dxa" w:w="100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0201E"/>
                <w:sz w:val="18"/>
                <w:szCs w:val="18"/>
              </w:rPr>
              <w:t xml:space="preserve">通过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0201E"/>
                <w:sz w:val="18"/>
                <w:szCs w:val="18"/>
              </w:rPr>
              <w:t xml:space="preserve">全易感恒等式 (2.7)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0201E"/>
                <w:sz w:val="18"/>
                <w:szCs w:val="18"/>
              </w:rPr>
              <w:t xml:space="preserve">≈ 0</w:t>
            </w:r>
          </w:p>
        </w:tc>
        <w:tc>
          <w:tcPr>
            <w:tcW w:type="dxa" w:w="30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0201E"/>
                <w:sz w:val="18"/>
                <w:szCs w:val="18"/>
              </w:rPr>
              <w:t xml:space="preserve">残差 ~ 10</w:t>
            </w:r>
            <w:r>
              <w:rPr>
                <w:rFonts w:ascii="Calibri" w:cs="Calibri" w:eastAsia="Calibri" w:hAnsi="Calibri"/>
                <w:color w:val="20201E"/>
                <w:sz w:val="18"/>
                <w:szCs w:val="18"/>
                <w:vertAlign w:val="superscript"/>
              </w:rPr>
              <w:t xml:space="preserve">−12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0201E"/>
                <w:sz w:val="18"/>
                <w:szCs w:val="18"/>
              </w:rPr>
              <w:t xml:space="preserve">通过</w:t>
            </w:r>
          </w:p>
        </w:tc>
      </w:tr>
      <w:tr>
        <w:trPr>
          <w:cantSplit/>
          <w:tblHeader w:val="false"/>
        </w:trPr>
        <w:tc>
          <w:tcPr>
            <w:tcW w:type="dxa" w:w="310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0201E"/>
                <w:sz w:val="18"/>
                <w:szCs w:val="18"/>
              </w:rPr>
              <w:t xml:space="preserve">无病定态 Jacobian 谱横标</w:t>
            </w:r>
          </w:p>
        </w:tc>
        <w:tc>
          <w:tcPr>
            <w:tcW w:type="dxa" w:w="240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0201E"/>
                <w:sz w:val="18"/>
                <w:szCs w:val="18"/>
              </w:rPr>
              <w:t xml:space="preserve">0  at  </w:t>
            </w:r>
            <w:r>
              <w:rPr>
                <w:rFonts w:ascii="Calibri" w:cs="Calibri" w:eastAsia="Calibri" w:hAnsi="Calibri"/>
                <w:color w:val="20201E"/>
                <w:sz w:val="20"/>
                <w:szCs w:val="20"/>
              </w:rPr>
              <w:t xml:space="preserve">λ</w:t>
            </w:r>
            <w:r>
              <w:rPr>
                <w:rFonts w:ascii="Calibri" w:cs="Calibri" w:eastAsia="Calibri" w:hAnsi="Calibri"/>
                <w:color w:val="20201E"/>
                <w:sz w:val="20"/>
                <w:szCs w:val="20"/>
                <w:vertAlign w:val="subscript"/>
              </w:rPr>
              <w:t xml:space="preserve">c</w:t>
            </w:r>
          </w:p>
        </w:tc>
        <w:tc>
          <w:tcPr>
            <w:tcW w:type="dxa" w:w="306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0201E"/>
                <w:sz w:val="18"/>
                <w:szCs w:val="18"/>
              </w:rPr>
              <w:t xml:space="preserve">0（机器精度）</w:t>
            </w:r>
          </w:p>
        </w:tc>
        <w:tc>
          <w:tcPr>
            <w:tcW w:type="dxa" w:w="100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0201E"/>
                <w:sz w:val="18"/>
                <w:szCs w:val="18"/>
              </w:rPr>
              <w:t xml:space="preserve">通过</w:t>
            </w:r>
          </w:p>
        </w:tc>
      </w:tr>
    </w:tbl>
    <w:p>
      <w:pPr>
        <w:spacing w:after="60" w:before="0" w:line="276"/>
      </w:pPr>
      <w:r>
        <w:rPr>
          <w:rFonts w:ascii="Calibri" w:cs="Calibri" w:eastAsia="Calibri" w:hAnsi="Calibri"/>
          <w:color w:val="20201E"/>
          <w:sz w:val="18"/>
          <w:szCs w:val="18"/>
        </w:rPr>
        <w:t xml:space="preserve">要点：大纲 2.9 节的 0.410619 并非 </w:t>
      </w:r>
      <w:r>
        <w:rPr>
          <w:rFonts w:ascii="Calibri" w:cs="Calibri" w:eastAsia="Calibri" w:hAnsi="Calibri"/>
          <w:color w:val="20201E"/>
          <w:sz w:val="18"/>
          <w:szCs w:val="18"/>
        </w:rPr>
        <w:t xml:space="preserve">ρ</w:t>
      </w:r>
      <w:r>
        <w:rPr>
          <w:rFonts w:ascii="Calibri" w:cs="Calibri" w:eastAsia="Calibri" w:hAnsi="Calibri"/>
          <w:color w:val="20201E"/>
          <w:sz w:val="18"/>
          <w:szCs w:val="18"/>
        </w:rPr>
        <w:t xml:space="preserve">(N)=1 的值，而是有限 t</w:t>
      </w:r>
      <w:r>
        <w:rPr>
          <w:rFonts w:ascii="Calibri" w:cs="Calibri" w:eastAsia="Calibri" w:hAnsi="Calibri"/>
          <w:color w:val="20201E"/>
          <w:sz w:val="18"/>
          <w:szCs w:val="18"/>
          <w:vertAlign w:val="subscript"/>
        </w:rPr>
        <w:t xml:space="preserve">max</w:t>
      </w:r>
      <w:r>
        <w:rPr>
          <w:rFonts w:ascii="Calibri" w:cs="Calibri" w:eastAsia="Calibri" w:hAnsi="Calibri"/>
          <w:color w:val="20201E"/>
          <w:sz w:val="18"/>
          <w:szCs w:val="18"/>
        </w:rPr>
        <w:t xml:space="preserve"> 的终态二分阈值——本文 </w:t>
      </w:r>
      <w:r>
        <w:rPr>
          <w:rFonts w:ascii="Calibri" w:cs="Calibri" w:eastAsia="Calibri" w:hAnsi="Calibri"/>
          <w:color w:val="20201E"/>
          <w:sz w:val="18"/>
          <w:szCs w:val="18"/>
        </w:rPr>
        <w:t xml:space="preserve">ρ</w:t>
      </w:r>
      <w:r>
        <w:rPr>
          <w:rFonts w:ascii="Calibri" w:cs="Calibri" w:eastAsia="Calibri" w:hAnsi="Calibri"/>
          <w:i/>
          <w:iCs/>
          <w:color w:val="20201E"/>
          <w:sz w:val="18"/>
          <w:szCs w:val="18"/>
        </w:rPr>
        <w:t xml:space="preserve">(N)=1 给 0.400567，二者比值恰为 1.0251，正是 3.1 节记录的“积分窗口偏高 2.5–2.6%”。</w:t>
      </w:r>
    </w:p>
    <w:p>
      <w:pPr>
        <w:pStyle w:val="Heading1"/>
        <w:spacing w:after="100" w:before="240"/>
      </w:pPr>
      <w:r>
        <w:rPr>
          <w:rFonts w:ascii="Calibri" w:cs="Calibri" w:eastAsia="Calibri" w:hAnsi="Calibri"/>
          <w:b/>
          <w:bCs/>
          <w:color w:val="2F5D57"/>
          <w:sz w:val="28"/>
          <w:szCs w:val="28"/>
        </w:rPr>
        <w:t xml:space="preserve">3  主结果：八组构型的 λc 外推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0201E"/>
          <w:sz w:val="20"/>
          <w:szCs w:val="20"/>
        </w:rPr>
        <w:t xml:space="preserve">窗口取 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λ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 ∈ [0.90, 0.995]·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λ</w:t>
      </w:r>
      <w:r>
        <w:rPr>
          <w:rFonts w:ascii="Calibri" w:cs="Calibri" w:eastAsia="Calibri" w:hAnsi="Calibri"/>
          <w:color w:val="20201E"/>
          <w:sz w:val="20"/>
          <w:szCs w:val="20"/>
          <w:vertAlign w:val="subscript"/>
        </w:rPr>
        <w:t xml:space="preserve">c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 的 10 个点，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ε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→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0 后作线性外推，x 截距即外推 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λ</w:t>
      </w:r>
      <w:r>
        <w:rPr>
          <w:rFonts w:ascii="Calibri" w:cs="Calibri" w:eastAsia="Calibri" w:hAnsi="Calibri"/>
          <w:color w:val="20201E"/>
          <w:sz w:val="20"/>
          <w:szCs w:val="20"/>
          <w:vertAlign w:val="subscript"/>
        </w:rPr>
        <w:t xml:space="preserve">c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。跨越 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λ</w:t>
      </w:r>
      <w:r>
        <w:rPr>
          <w:rFonts w:ascii="Calibri" w:cs="Calibri" w:eastAsia="Calibri" w:hAnsi="Calibri"/>
          <w:color w:val="20201E"/>
          <w:sz w:val="20"/>
          <w:szCs w:val="20"/>
          <w:vertAlign w:val="subscript"/>
        </w:rPr>
        <w:t xml:space="preserve">c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 ∈ [0.08, 0.40] 的八组构型（单层高阶超图、成对退化网络、双层多重超图）结果如下。</w:t>
      </w:r>
    </w:p>
    <w:tbl>
      <w:tblPr>
        <w:tblW w:type="dxa" w:w="9160"/>
        <w:tblBorders>
          <w:top w:val="single" w:color="BFC6C4" w:sz="4"/>
          <w:left w:val="none"/>
          <w:bottom w:val="single" w:color="BFC6C4" w:sz="4"/>
          <w:right w:val="none"/>
          <w:insideH w:val="single" w:color="E2E2DC" w:sz="2"/>
          <w:insideV w:val="none"/>
        </w:tblBorders>
      </w:tblPr>
      <w:tblGrid>
        <w:gridCol w:w="2260"/>
        <w:gridCol w:w="1560"/>
        <w:gridCol w:w="1560"/>
        <w:gridCol w:w="1300"/>
        <w:gridCol w:w="1340"/>
        <w:gridCol w:w="1140"/>
      </w:tblGrid>
      <w:tr>
        <w:trPr>
          <w:cantSplit/>
          <w:tblHeader/>
        </w:trPr>
        <w:tc>
          <w:tcPr>
            <w:tcW w:type="dxa" w:w="2260"/>
            <w:shd w:fill="E7F1E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F5D57"/>
                <w:sz w:val="18"/>
                <w:szCs w:val="18"/>
              </w:rPr>
              <w:t xml:space="preserve">构型</w:t>
            </w:r>
          </w:p>
        </w:tc>
        <w:tc>
          <w:tcPr>
            <w:tcW w:type="dxa" w:w="1560"/>
            <w:shd w:fill="E7F1E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0201E"/>
                <w:sz w:val="18"/>
                <w:szCs w:val="18"/>
              </w:rPr>
              <w:t xml:space="preserve">λᴄ [ρ(N)=1]</w:t>
            </w:r>
          </w:p>
        </w:tc>
        <w:tc>
          <w:tcPr>
            <w:tcW w:type="dxa" w:w="1560"/>
            <w:shd w:fill="E7F1E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0201E"/>
                <w:sz w:val="18"/>
                <w:szCs w:val="18"/>
              </w:rPr>
              <w:t xml:space="preserve">λᴄ [外推]</w:t>
            </w:r>
          </w:p>
        </w:tc>
        <w:tc>
          <w:tcPr>
            <w:tcW w:type="dxa" w:w="1300"/>
            <w:shd w:fill="E7F1E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5D57"/>
                <w:sz w:val="18"/>
                <w:szCs w:val="18"/>
              </w:rPr>
              <w:t xml:space="preserve">相对偏差</w:t>
            </w:r>
          </w:p>
        </w:tc>
        <w:tc>
          <w:tcPr>
            <w:tcW w:type="dxa" w:w="1340"/>
            <w:shd w:fill="E7F1E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0201E"/>
                <w:sz w:val="18"/>
                <w:szCs w:val="18"/>
              </w:rPr>
              <w:t xml:space="preserve">σ</w:t>
            </w:r>
          </w:p>
        </w:tc>
        <w:tc>
          <w:tcPr>
            <w:tcW w:type="dxa" w:w="1140"/>
            <w:shd w:fill="E7F1E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0201E"/>
                <w:sz w:val="18"/>
                <w:szCs w:val="18"/>
              </w:rPr>
              <w:t xml:space="preserve">偏离 (σ)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0201E"/>
                <w:sz w:val="18"/>
                <w:szCs w:val="18"/>
              </w:rPr>
              <w:t xml:space="preserve">2-layer  m=(4,4)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0201E"/>
                <w:sz w:val="18"/>
                <w:szCs w:val="18"/>
              </w:rPr>
              <w:t xml:space="preserve">0.080302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0201E"/>
                <w:sz w:val="18"/>
                <w:szCs w:val="18"/>
              </w:rPr>
              <w:t xml:space="preserve">0.080354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0201E"/>
                <w:sz w:val="18"/>
                <w:szCs w:val="18"/>
              </w:rPr>
              <w:t xml:space="preserve">+0.065%</w:t>
            </w:r>
          </w:p>
        </w:tc>
        <w:tc>
          <w:tcPr>
            <w:tcW w:type="dxa" w:w="1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0201E"/>
                <w:sz w:val="18"/>
                <w:szCs w:val="18"/>
              </w:rPr>
              <w:t xml:space="preserve">3.4×10</w:t>
            </w:r>
            <w:r>
              <w:rPr>
                <w:rFonts w:ascii="Calibri" w:cs="Calibri" w:eastAsia="Calibri" w:hAnsi="Calibri"/>
                <w:color w:val="20201E"/>
                <w:sz w:val="18"/>
                <w:szCs w:val="18"/>
                <w:vertAlign w:val="superscript"/>
              </w:rPr>
              <w:t xml:space="preserve">−5</w:t>
            </w:r>
          </w:p>
        </w:tc>
        <w:tc>
          <w:tcPr>
            <w:tcW w:type="dxa" w:w="11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0201E"/>
                <w:sz w:val="18"/>
                <w:szCs w:val="18"/>
              </w:rPr>
              <w:t xml:space="preserve">+1.51</w:t>
            </w:r>
          </w:p>
        </w:tc>
      </w:tr>
      <w:tr>
        <w:trPr>
          <w:cantSplit/>
          <w:tblHeader w:val="false"/>
        </w:trPr>
        <w:tc>
          <w:tcPr>
            <w:tcW w:type="dxa" w:w="226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0201E"/>
                <w:sz w:val="18"/>
                <w:szCs w:val="18"/>
              </w:rPr>
              <w:t xml:space="preserve">2-layer  m=(3,4)</w:t>
            </w:r>
          </w:p>
        </w:tc>
        <w:tc>
          <w:tcPr>
            <w:tcW w:type="dxa" w:w="156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0201E"/>
                <w:sz w:val="18"/>
                <w:szCs w:val="18"/>
              </w:rPr>
              <w:t xml:space="preserve">0.099309</w:t>
            </w:r>
          </w:p>
        </w:tc>
        <w:tc>
          <w:tcPr>
            <w:tcW w:type="dxa" w:w="156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0201E"/>
                <w:sz w:val="18"/>
                <w:szCs w:val="18"/>
              </w:rPr>
              <w:t xml:space="preserve">0.099370</w:t>
            </w:r>
          </w:p>
        </w:tc>
        <w:tc>
          <w:tcPr>
            <w:tcW w:type="dxa" w:w="130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0201E"/>
                <w:sz w:val="18"/>
                <w:szCs w:val="18"/>
              </w:rPr>
              <w:t xml:space="preserve">+0.062%</w:t>
            </w:r>
          </w:p>
        </w:tc>
        <w:tc>
          <w:tcPr>
            <w:tcW w:type="dxa" w:w="134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0201E"/>
                <w:sz w:val="18"/>
                <w:szCs w:val="18"/>
              </w:rPr>
              <w:t xml:space="preserve">4.4×10</w:t>
            </w:r>
            <w:r>
              <w:rPr>
                <w:rFonts w:ascii="Calibri" w:cs="Calibri" w:eastAsia="Calibri" w:hAnsi="Calibri"/>
                <w:color w:val="20201E"/>
                <w:sz w:val="18"/>
                <w:szCs w:val="18"/>
                <w:vertAlign w:val="superscript"/>
              </w:rPr>
              <w:t xml:space="preserve">−5</w:t>
            </w:r>
          </w:p>
        </w:tc>
        <w:tc>
          <w:tcPr>
            <w:tcW w:type="dxa" w:w="114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0201E"/>
                <w:sz w:val="18"/>
                <w:szCs w:val="18"/>
              </w:rPr>
              <w:t xml:space="preserve">+1.38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0201E"/>
                <w:sz w:val="18"/>
                <w:szCs w:val="18"/>
              </w:rPr>
              <w:t xml:space="preserve">2-layer  m=(3,3)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0201E"/>
                <w:sz w:val="18"/>
                <w:szCs w:val="18"/>
              </w:rPr>
              <w:t xml:space="preserve">0.128162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0201E"/>
                <w:sz w:val="18"/>
                <w:szCs w:val="18"/>
              </w:rPr>
              <w:t xml:space="preserve">0.128236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0201E"/>
                <w:sz w:val="18"/>
                <w:szCs w:val="18"/>
              </w:rPr>
              <w:t xml:space="preserve">+0.058%</w:t>
            </w:r>
          </w:p>
        </w:tc>
        <w:tc>
          <w:tcPr>
            <w:tcW w:type="dxa" w:w="1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0201E"/>
                <w:sz w:val="18"/>
                <w:szCs w:val="18"/>
              </w:rPr>
              <w:t xml:space="preserve">5.9×10</w:t>
            </w:r>
            <w:r>
              <w:rPr>
                <w:rFonts w:ascii="Calibri" w:cs="Calibri" w:eastAsia="Calibri" w:hAnsi="Calibri"/>
                <w:color w:val="20201E"/>
                <w:sz w:val="18"/>
                <w:szCs w:val="18"/>
                <w:vertAlign w:val="superscript"/>
              </w:rPr>
              <w:t xml:space="preserve">−5</w:t>
            </w:r>
          </w:p>
        </w:tc>
        <w:tc>
          <w:tcPr>
            <w:tcW w:type="dxa" w:w="11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0201E"/>
                <w:sz w:val="18"/>
                <w:szCs w:val="18"/>
              </w:rPr>
              <w:t xml:space="preserve">+1.26</w:t>
            </w:r>
          </w:p>
        </w:tc>
      </w:tr>
      <w:tr>
        <w:trPr>
          <w:cantSplit/>
          <w:tblHeader w:val="false"/>
        </w:trPr>
        <w:tc>
          <w:tcPr>
            <w:tcW w:type="dxa" w:w="226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0201E"/>
                <w:sz w:val="18"/>
                <w:szCs w:val="18"/>
              </w:rPr>
              <w:t xml:space="preserve">3-reg.  m=4</w:t>
            </w:r>
          </w:p>
        </w:tc>
        <w:tc>
          <w:tcPr>
            <w:tcW w:type="dxa" w:w="156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0201E"/>
                <w:sz w:val="18"/>
                <w:szCs w:val="18"/>
              </w:rPr>
              <w:t xml:space="preserve">0.174483</w:t>
            </w:r>
          </w:p>
        </w:tc>
        <w:tc>
          <w:tcPr>
            <w:tcW w:type="dxa" w:w="156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0201E"/>
                <w:sz w:val="18"/>
                <w:szCs w:val="18"/>
              </w:rPr>
              <w:t xml:space="preserve">0.174536</w:t>
            </w:r>
          </w:p>
        </w:tc>
        <w:tc>
          <w:tcPr>
            <w:tcW w:type="dxa" w:w="130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0201E"/>
                <w:sz w:val="18"/>
                <w:szCs w:val="18"/>
              </w:rPr>
              <w:t xml:space="preserve">+0.031%</w:t>
            </w:r>
          </w:p>
        </w:tc>
        <w:tc>
          <w:tcPr>
            <w:tcW w:type="dxa" w:w="134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0201E"/>
                <w:sz w:val="18"/>
                <w:szCs w:val="18"/>
              </w:rPr>
              <w:t xml:space="preserve">9.8×10</w:t>
            </w:r>
            <w:r>
              <w:rPr>
                <w:rFonts w:ascii="Calibri" w:cs="Calibri" w:eastAsia="Calibri" w:hAnsi="Calibri"/>
                <w:color w:val="20201E"/>
                <w:sz w:val="18"/>
                <w:szCs w:val="18"/>
                <w:vertAlign w:val="superscript"/>
              </w:rPr>
              <w:t xml:space="preserve">−5</w:t>
            </w:r>
          </w:p>
        </w:tc>
        <w:tc>
          <w:tcPr>
            <w:tcW w:type="dxa" w:w="114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0201E"/>
                <w:sz w:val="18"/>
                <w:szCs w:val="18"/>
              </w:rPr>
              <w:t xml:space="preserve">+0.55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0201E"/>
                <w:sz w:val="18"/>
                <w:szCs w:val="18"/>
              </w:rPr>
              <w:t xml:space="preserve">2-layer  m=(2,3)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0201E"/>
                <w:sz w:val="18"/>
                <w:szCs w:val="18"/>
              </w:rPr>
              <w:t xml:space="preserve">0.185417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0201E"/>
                <w:sz w:val="18"/>
                <w:szCs w:val="18"/>
              </w:rPr>
              <w:t xml:space="preserve">0.185512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0201E"/>
                <w:sz w:val="18"/>
                <w:szCs w:val="18"/>
              </w:rPr>
              <w:t xml:space="preserve">+0.052%</w:t>
            </w:r>
          </w:p>
        </w:tc>
        <w:tc>
          <w:tcPr>
            <w:tcW w:type="dxa" w:w="1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0201E"/>
                <w:sz w:val="18"/>
                <w:szCs w:val="18"/>
              </w:rPr>
              <w:t xml:space="preserve">9.3×10</w:t>
            </w:r>
            <w:r>
              <w:rPr>
                <w:rFonts w:ascii="Calibri" w:cs="Calibri" w:eastAsia="Calibri" w:hAnsi="Calibri"/>
                <w:color w:val="20201E"/>
                <w:sz w:val="18"/>
                <w:szCs w:val="18"/>
                <w:vertAlign w:val="superscript"/>
              </w:rPr>
              <w:t xml:space="preserve">−5</w:t>
            </w:r>
          </w:p>
        </w:tc>
        <w:tc>
          <w:tcPr>
            <w:tcW w:type="dxa" w:w="11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0201E"/>
                <w:sz w:val="18"/>
                <w:szCs w:val="18"/>
              </w:rPr>
              <w:t xml:space="preserve">+1.03</w:t>
            </w:r>
          </w:p>
        </w:tc>
      </w:tr>
      <w:tr>
        <w:trPr>
          <w:cantSplit/>
          <w:tblHeader w:val="false"/>
        </w:trPr>
        <w:tc>
          <w:tcPr>
            <w:tcW w:type="dxa" w:w="226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0201E"/>
                <w:sz w:val="18"/>
                <w:szCs w:val="18"/>
              </w:rPr>
              <w:t xml:space="preserve">6-reg.  pairwise</w:t>
            </w:r>
          </w:p>
        </w:tc>
        <w:tc>
          <w:tcPr>
            <w:tcW w:type="dxa" w:w="156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0201E"/>
                <w:sz w:val="18"/>
                <w:szCs w:val="18"/>
              </w:rPr>
              <w:t xml:space="preserve">0.250000</w:t>
            </w:r>
          </w:p>
        </w:tc>
        <w:tc>
          <w:tcPr>
            <w:tcW w:type="dxa" w:w="156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0201E"/>
                <w:sz w:val="18"/>
                <w:szCs w:val="18"/>
              </w:rPr>
              <w:t xml:space="preserve">0.250096</w:t>
            </w:r>
          </w:p>
        </w:tc>
        <w:tc>
          <w:tcPr>
            <w:tcW w:type="dxa" w:w="130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0201E"/>
                <w:sz w:val="18"/>
                <w:szCs w:val="18"/>
              </w:rPr>
              <w:t xml:space="preserve">+0.039%</w:t>
            </w:r>
          </w:p>
        </w:tc>
        <w:tc>
          <w:tcPr>
            <w:tcW w:type="dxa" w:w="134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0201E"/>
                <w:sz w:val="18"/>
                <w:szCs w:val="18"/>
              </w:rPr>
              <w:t xml:space="preserve">1.3×10</w:t>
            </w:r>
            <w:r>
              <w:rPr>
                <w:rFonts w:ascii="Calibri" w:cs="Calibri" w:eastAsia="Calibri" w:hAnsi="Calibri"/>
                <w:color w:val="20201E"/>
                <w:sz w:val="18"/>
                <w:szCs w:val="18"/>
                <w:vertAlign w:val="superscript"/>
              </w:rPr>
              <w:t xml:space="preserve">−4</w:t>
            </w:r>
          </w:p>
        </w:tc>
        <w:tc>
          <w:tcPr>
            <w:tcW w:type="dxa" w:w="114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0201E"/>
                <w:sz w:val="18"/>
                <w:szCs w:val="18"/>
              </w:rPr>
              <w:t xml:space="preserve">+0.76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0201E"/>
                <w:sz w:val="18"/>
                <w:szCs w:val="18"/>
              </w:rPr>
              <w:t xml:space="preserve">5-reg.  pairwise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0201E"/>
                <w:sz w:val="18"/>
                <w:szCs w:val="18"/>
              </w:rPr>
              <w:t xml:space="preserve">0.333333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0201E"/>
                <w:sz w:val="18"/>
                <w:szCs w:val="18"/>
              </w:rPr>
              <w:t xml:space="preserve">0.333440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0201E"/>
                <w:sz w:val="18"/>
                <w:szCs w:val="18"/>
              </w:rPr>
              <w:t xml:space="preserve">+0.032%</w:t>
            </w:r>
          </w:p>
        </w:tc>
        <w:tc>
          <w:tcPr>
            <w:tcW w:type="dxa" w:w="1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0201E"/>
                <w:sz w:val="18"/>
                <w:szCs w:val="18"/>
              </w:rPr>
              <w:t xml:space="preserve">1.9×10</w:t>
            </w:r>
            <w:r>
              <w:rPr>
                <w:rFonts w:ascii="Calibri" w:cs="Calibri" w:eastAsia="Calibri" w:hAnsi="Calibri"/>
                <w:color w:val="20201E"/>
                <w:sz w:val="18"/>
                <w:szCs w:val="18"/>
                <w:vertAlign w:val="superscript"/>
              </w:rPr>
              <w:t xml:space="preserve">−4</w:t>
            </w:r>
          </w:p>
        </w:tc>
        <w:tc>
          <w:tcPr>
            <w:tcW w:type="dxa" w:w="11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0201E"/>
                <w:sz w:val="18"/>
                <w:szCs w:val="18"/>
              </w:rPr>
              <w:t xml:space="preserve">+0.57</w:t>
            </w:r>
          </w:p>
        </w:tc>
      </w:tr>
      <w:tr>
        <w:trPr>
          <w:cantSplit/>
          <w:tblHeader w:val="false"/>
        </w:trPr>
        <w:tc>
          <w:tcPr>
            <w:tcW w:type="dxa" w:w="226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0201E"/>
                <w:sz w:val="18"/>
                <w:szCs w:val="18"/>
              </w:rPr>
              <w:t xml:space="preserve">1-layer  m=3</w:t>
            </w:r>
          </w:p>
        </w:tc>
        <w:tc>
          <w:tcPr>
            <w:tcW w:type="dxa" w:w="156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0201E"/>
                <w:sz w:val="18"/>
                <w:szCs w:val="18"/>
              </w:rPr>
              <w:t xml:space="preserve">0.400567</w:t>
            </w:r>
          </w:p>
        </w:tc>
        <w:tc>
          <w:tcPr>
            <w:tcW w:type="dxa" w:w="156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0201E"/>
                <w:sz w:val="18"/>
                <w:szCs w:val="18"/>
              </w:rPr>
              <w:t xml:space="preserve">0.400702</w:t>
            </w:r>
          </w:p>
        </w:tc>
        <w:tc>
          <w:tcPr>
            <w:tcW w:type="dxa" w:w="130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0201E"/>
                <w:sz w:val="18"/>
                <w:szCs w:val="18"/>
              </w:rPr>
              <w:t xml:space="preserve">+0.034%</w:t>
            </w:r>
          </w:p>
        </w:tc>
        <w:tc>
          <w:tcPr>
            <w:tcW w:type="dxa" w:w="134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0201E"/>
                <w:sz w:val="18"/>
                <w:szCs w:val="18"/>
              </w:rPr>
              <w:t xml:space="preserve">2.9×10</w:t>
            </w:r>
            <w:r>
              <w:rPr>
                <w:rFonts w:ascii="Calibri" w:cs="Calibri" w:eastAsia="Calibri" w:hAnsi="Calibri"/>
                <w:color w:val="20201E"/>
                <w:sz w:val="18"/>
                <w:szCs w:val="18"/>
                <w:vertAlign w:val="superscript"/>
              </w:rPr>
              <w:t xml:space="preserve">−4</w:t>
            </w:r>
          </w:p>
        </w:tc>
        <w:tc>
          <w:tcPr>
            <w:tcW w:type="dxa" w:w="114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0201E"/>
                <w:sz w:val="18"/>
                <w:szCs w:val="18"/>
              </w:rPr>
              <w:t xml:space="preserve">+0.47</w:t>
            </w:r>
          </w:p>
        </w:tc>
      </w:tr>
    </w:tbl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20201E"/>
          <w:sz w:val="20"/>
          <w:szCs w:val="20"/>
        </w:rPr>
        <w:t xml:space="preserve">最大相对偏差 6.5</w:t>
      </w:r>
      <w:r>
        <w:rPr>
          <w:rFonts w:ascii="Calibri" w:cs="Calibri" w:eastAsia="Calibri" w:hAnsi="Calibri"/>
          <w:b/>
          <w:bCs/>
          <w:color w:val="20201E"/>
          <w:sz w:val="20"/>
          <w:szCs w:val="20"/>
        </w:rPr>
        <w:t xml:space="preserve">×</w:t>
      </w:r>
      <w:r>
        <w:rPr>
          <w:rFonts w:ascii="Calibri" w:cs="Calibri" w:eastAsia="Calibri" w:hAnsi="Calibri"/>
          <w:b/>
          <w:bCs/>
          <w:color w:val="20201E"/>
          <w:sz w:val="20"/>
          <w:szCs w:val="20"/>
        </w:rPr>
        <w:t xml:space="preserve">10</w:t>
      </w:r>
      <w:r>
        <w:rPr>
          <w:rFonts w:ascii="Calibri" w:cs="Calibri" w:eastAsia="Calibri" w:hAnsi="Calibri"/>
          <w:b/>
          <w:bCs/>
          <w:color w:val="20201E"/>
          <w:sz w:val="20"/>
          <w:szCs w:val="20"/>
          <w:vertAlign w:val="superscript"/>
        </w:rPr>
        <w:t xml:space="preserve">−4</w:t>
      </w:r>
      <w:r>
        <w:rPr>
          <w:rFonts w:ascii="Calibri" w:cs="Calibri" w:eastAsia="Calibri" w:hAnsi="Calibri"/>
          <w:b/>
          <w:bCs/>
          <w:color w:val="20201E"/>
          <w:sz w:val="20"/>
          <w:szCs w:val="20"/>
        </w:rPr>
        <w:t xml:space="preserve">，八组全部落在拟合不确定度的 1.51</w:t>
      </w:r>
      <w:r>
        <w:rPr>
          <w:rFonts w:ascii="Calibri" w:cs="Calibri" w:eastAsia="Calibri" w:hAnsi="Calibri"/>
          <w:b/>
          <w:bCs/>
          <w:color w:val="20201E"/>
          <w:sz w:val="20"/>
          <w:szCs w:val="20"/>
        </w:rPr>
        <w:t xml:space="preserve">σ</w:t>
      </w:r>
      <w:r>
        <w:rPr>
          <w:rFonts w:ascii="Calibri" w:cs="Calibri" w:eastAsia="Calibri" w:hAnsi="Calibri"/>
          <w:b/>
          <w:bCs/>
          <w:color w:val="20201E"/>
          <w:sz w:val="20"/>
          <w:szCs w:val="20"/>
        </w:rPr>
        <w:t xml:space="preserve"> 之内。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 残余为已知的有限窗口效应——1/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χ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 仅在 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λ</w:t>
      </w:r>
      <w:r>
        <w:rPr>
          <w:rFonts w:ascii="Calibri" w:cs="Calibri" w:eastAsia="Calibri" w:hAnsi="Calibri"/>
          <w:color w:val="20201E"/>
          <w:sz w:val="20"/>
          <w:szCs w:val="20"/>
          <w:vertAlign w:val="subscript"/>
        </w:rPr>
        <w:t xml:space="preserve">c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 邻域严格线性，窗口凸性使外推零点略偏高，其符号随窗口位置翻转、量级与 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σ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 相当，故不可与真实偏离区分。</w:t>
      </w:r>
    </w:p>
    <w:p>
      <w:pPr>
        <w:pStyle w:val="Heading1"/>
        <w:spacing w:after="100" w:before="240"/>
      </w:pPr>
      <w:r>
        <w:rPr>
          <w:rFonts w:ascii="Calibri" w:cs="Calibri" w:eastAsia="Calibri" w:hAnsi="Calibri"/>
          <w:b/>
          <w:bCs/>
          <w:color w:val="2F5D57"/>
          <w:sz w:val="28"/>
          <w:szCs w:val="28"/>
        </w:rPr>
        <w:t xml:space="preserve">4  独立交叉验证</w:t>
      </w:r>
    </w:p>
    <w:tbl>
      <w:tblPr>
        <w:tblW w:type="dxa" w:w="9560"/>
        <w:tblBorders>
          <w:top w:val="single" w:color="BFC6C4" w:sz="4"/>
          <w:left w:val="none"/>
          <w:bottom w:val="single" w:color="BFC6C4" w:sz="4"/>
          <w:right w:val="none"/>
          <w:insideH w:val="single" w:color="E2E2DC" w:sz="2"/>
          <w:insideV w:val="none"/>
        </w:tblBorders>
      </w:tblPr>
      <w:tblGrid>
        <w:gridCol w:w="3050"/>
        <w:gridCol w:w="3050"/>
        <w:gridCol w:w="3460"/>
      </w:tblGrid>
      <w:tr>
        <w:trPr>
          <w:cantSplit/>
          <w:tblHeader/>
        </w:trPr>
        <w:tc>
          <w:tcPr>
            <w:tcW w:type="dxa" w:w="3050"/>
            <w:shd w:fill="E7F1E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F5D57"/>
                <w:sz w:val="18"/>
                <w:szCs w:val="18"/>
              </w:rPr>
              <w:t xml:space="preserve">检验</w:t>
            </w:r>
          </w:p>
        </w:tc>
        <w:tc>
          <w:tcPr>
            <w:tcW w:type="dxa" w:w="3050"/>
            <w:shd w:fill="E7F1E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5D57"/>
                <w:sz w:val="18"/>
                <w:szCs w:val="18"/>
              </w:rPr>
              <w:t xml:space="preserve">方法</w:t>
            </w:r>
          </w:p>
        </w:tc>
        <w:tc>
          <w:tcPr>
            <w:tcW w:type="dxa" w:w="3460"/>
            <w:shd w:fill="E7F1E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5D57"/>
                <w:sz w:val="18"/>
                <w:szCs w:val="18"/>
              </w:rPr>
              <w:t xml:space="preserve">结果</w:t>
            </w:r>
          </w:p>
        </w:tc>
      </w:tr>
      <w:tr>
        <w:trPr>
          <w:cantSplit/>
          <w:tblHeader w:val="false"/>
        </w:trPr>
        <w:tc>
          <w:tcPr>
            <w:tcW w:type="dxa" w:w="30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0201E"/>
                <w:sz w:val="18"/>
                <w:szCs w:val="18"/>
              </w:rPr>
              <w:t xml:space="preserve">闭合终态 = 分支公式</w:t>
            </w:r>
          </w:p>
        </w:tc>
        <w:tc>
          <w:tcPr>
            <w:tcW w:type="dxa" w:w="30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0201E"/>
                <w:sz w:val="17"/>
                <w:szCs w:val="17"/>
              </w:rPr>
              <w:t xml:space="preserve">χ_ODE vs 1+𝟙ᵀ(I−Nᵀ)⁻¹g</w:t>
            </w:r>
          </w:p>
        </w:tc>
        <w:tc>
          <w:tcPr>
            <w:tcW w:type="dxa" w:w="34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0201E"/>
                <w:sz w:val="18"/>
                <w:szCs w:val="18"/>
              </w:rPr>
              <w:t xml:space="preserve">ε→0 收敛：3.7×10</w:t>
            </w:r>
            <w:r>
              <w:rPr>
                <w:rFonts w:ascii="Calibri" w:cs="Calibri" w:eastAsia="Calibri" w:hAnsi="Calibri"/>
                <w:color w:val="20201E"/>
                <w:sz w:val="18"/>
                <w:szCs w:val="18"/>
                <w:vertAlign w:val="superscript"/>
              </w:rPr>
              <w:t xml:space="preserve">−3</w:t>
            </w:r>
            <w:r>
              <w:rPr>
                <w:rFonts w:ascii="Calibri" w:cs="Calibri" w:eastAsia="Calibri" w:hAnsi="Calibri"/>
                <w:color w:val="20201E"/>
                <w:sz w:val="18"/>
                <w:szCs w:val="18"/>
              </w:rPr>
              <w:t xml:space="preserve">→ 1.1×10</w:t>
            </w:r>
            <w:r>
              <w:rPr>
                <w:rFonts w:ascii="Calibri" w:cs="Calibri" w:eastAsia="Calibri" w:hAnsi="Calibri"/>
                <w:color w:val="20201E"/>
                <w:sz w:val="18"/>
                <w:szCs w:val="18"/>
                <w:vertAlign w:val="superscript"/>
              </w:rPr>
              <w:t xml:space="preserve">−5</w:t>
            </w:r>
          </w:p>
        </w:tc>
      </w:tr>
      <w:tr>
        <w:trPr>
          <w:cantSplit/>
          <w:tblHeader w:val="false"/>
        </w:trPr>
        <w:tc>
          <w:tcPr>
            <w:tcW w:type="dxa" w:w="305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0201E"/>
                <w:sz w:val="18"/>
                <w:szCs w:val="18"/>
              </w:rPr>
              <w:t xml:space="preserve">级联 C 独立复核</w:t>
            </w:r>
          </w:p>
        </w:tc>
        <w:tc>
          <w:tcPr>
            <w:tcW w:type="dxa" w:w="305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0201E"/>
                <w:sz w:val="18"/>
                <w:szCs w:val="18"/>
              </w:rPr>
              <w:t xml:space="preserve">单群体直接 Gillespie，10⁶ 抽样</w:t>
            </w:r>
          </w:p>
        </w:tc>
        <w:tc>
          <w:tcPr>
            <w:tcW w:type="dxa" w:w="346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0201E"/>
                <w:sz w:val="18"/>
                <w:szCs w:val="18"/>
              </w:rPr>
              <w:t xml:space="preserve">≤ ~1σ 吻合（含 m=2 解析、θ≥2）</w:t>
            </w:r>
          </w:p>
        </w:tc>
      </w:tr>
      <w:tr>
        <w:trPr>
          <w:cantSplit/>
          <w:tblHeader w:val="false"/>
        </w:trPr>
        <w:tc>
          <w:tcPr>
            <w:tcW w:type="dxa" w:w="30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0201E"/>
                <w:sz w:val="18"/>
                <w:szCs w:val="18"/>
              </w:rPr>
              <w:t xml:space="preserve">终态 t_max 收敛</w:t>
            </w:r>
          </w:p>
        </w:tc>
        <w:tc>
          <w:tcPr>
            <w:tcW w:type="dxa" w:w="30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0201E"/>
                <w:sz w:val="18"/>
                <w:szCs w:val="18"/>
              </w:rPr>
              <w:t xml:space="preserve">t_max ∈ [2×10⁴, 1.2×10⁵]</w:t>
            </w:r>
          </w:p>
        </w:tc>
        <w:tc>
          <w:tcPr>
            <w:tcW w:type="dxa" w:w="34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0201E"/>
                <w:sz w:val="18"/>
                <w:szCs w:val="18"/>
              </w:rPr>
              <w:t xml:space="preserve">χ 不变；残余激活质量 ≤ 10</w:t>
            </w:r>
            <w:r>
              <w:rPr>
                <w:rFonts w:ascii="Calibri" w:cs="Calibri" w:eastAsia="Calibri" w:hAnsi="Calibri"/>
                <w:color w:val="20201E"/>
                <w:sz w:val="18"/>
                <w:szCs w:val="18"/>
                <w:vertAlign w:val="superscript"/>
              </w:rPr>
              <w:t xml:space="preserve">−20</w:t>
            </w:r>
          </w:p>
        </w:tc>
      </w:tr>
      <w:tr>
        <w:trPr>
          <w:cantSplit/>
          <w:tblHeader w:val="false"/>
        </w:trPr>
        <w:tc>
          <w:tcPr>
            <w:tcW w:type="dxa" w:w="305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0201E"/>
                <w:sz w:val="18"/>
                <w:szCs w:val="18"/>
              </w:rPr>
              <w:t xml:space="preserve">ρ(λ) 单调性</w:t>
            </w:r>
          </w:p>
        </w:tc>
        <w:tc>
          <w:tcPr>
            <w:tcW w:type="dxa" w:w="305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0201E"/>
                <w:sz w:val="18"/>
                <w:szCs w:val="18"/>
              </w:rPr>
              <w:t xml:space="preserve">8 点扫描</w:t>
            </w:r>
          </w:p>
        </w:tc>
        <w:tc>
          <w:tcPr>
            <w:tcW w:type="dxa" w:w="346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0201E"/>
                <w:sz w:val="18"/>
                <w:szCs w:val="18"/>
              </w:rPr>
              <w:t xml:space="preserve">严格递增 (0.21→2.72)，二分适定</w:t>
            </w:r>
          </w:p>
        </w:tc>
      </w:tr>
      <w:tr>
        <w:trPr>
          <w:cantSplit/>
          <w:tblHeader w:val="false"/>
        </w:trPr>
        <w:tc>
          <w:tcPr>
            <w:tcW w:type="dxa" w:w="30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0201E"/>
                <w:sz w:val="18"/>
                <w:szCs w:val="18"/>
              </w:rPr>
              <w:t xml:space="preserve">ODE 过阈行为</w:t>
            </w:r>
          </w:p>
        </w:tc>
        <w:tc>
          <w:tcPr>
            <w:tcW w:type="dxa" w:w="30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0201E"/>
                <w:sz w:val="18"/>
                <w:szCs w:val="18"/>
              </w:rPr>
              <w:t xml:space="preserve">ε=0.02，跨越 λᴄ</w:t>
            </w:r>
          </w:p>
        </w:tc>
        <w:tc>
          <w:tcPr>
            <w:tcW w:type="dxa" w:w="34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0201E"/>
                <w:sz w:val="18"/>
                <w:szCs w:val="18"/>
              </w:rPr>
              <w:t xml:space="preserve">亚临界 R(∞)~O(ε)，超临界 O(1)</w:t>
            </w:r>
          </w:p>
        </w:tc>
      </w:tr>
    </w:tbl>
    <w:p>
      <w:pPr>
        <w:pStyle w:val="Heading1"/>
        <w:spacing w:after="100" w:before="240"/>
      </w:pPr>
      <w:r>
        <w:rPr>
          <w:rFonts w:ascii="Calibri" w:cs="Calibri" w:eastAsia="Calibri" w:hAnsi="Calibri"/>
          <w:b/>
          <w:bCs/>
          <w:color w:val="2F5D57"/>
          <w:sz w:val="28"/>
          <w:szCs w:val="28"/>
        </w:rPr>
        <w:t xml:space="preserve">5  图 2 说明</w:t>
      </w:r>
    </w:p>
    <w:p>
      <w:pPr>
        <w:spacing w:after="60" w:before="60"/>
        <w:jc w:val="center"/>
      </w:pPr>
      <w:r>
        <w:drawing>
          <wp:inline distT="0" distB="0" distL="0" distR="0">
            <wp:extent cx="59055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6B6A63"/>
          <w:sz w:val="18"/>
          <w:szCs w:val="18"/>
        </w:rPr>
        <w:t xml:space="preserve">图 2  由亚临界终态外推测定爆发阈值 λc，并与 ρ(N)=1 独立比对。</w:t>
      </w:r>
    </w:p>
    <w:p>
      <w:pPr>
        <w:spacing w:after="100" w:before="0" w:line="276"/>
      </w:pPr>
      <w:r>
        <w:rPr>
          <w:rFonts w:ascii="Calibri" w:cs="Calibri" w:eastAsia="Calibri" w:hAnsi="Calibri"/>
          <w:b/>
          <w:bCs/>
          <w:color w:val="1C6E64"/>
          <w:sz w:val="20"/>
          <w:szCs w:val="20"/>
        </w:rPr>
        <w:t xml:space="preserve">（a）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方法。逆平均簇规模 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ε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/R(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∞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) 随归一化控制参数 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λ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/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λ</w:t>
      </w:r>
      <w:r>
        <w:rPr>
          <w:rFonts w:ascii="Calibri" w:cs="Calibri" w:eastAsia="Calibri" w:hAnsi="Calibri"/>
          <w:color w:val="20201E"/>
          <w:sz w:val="20"/>
          <w:szCs w:val="20"/>
          <w:vertAlign w:val="subscript"/>
        </w:rPr>
        <w:t xml:space="preserve">c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 线性趋零（示例三组构型：双层 m=(3,4)、成对 6-正则、单层 m=3）。散点为 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ε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→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0 外推后的闭合终态，实线为近阈值窗口 [0.90, 0.995]·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λ</w:t>
      </w:r>
      <w:r>
        <w:rPr>
          <w:rFonts w:ascii="Calibri" w:cs="Calibri" w:eastAsia="Calibri" w:hAnsi="Calibri"/>
          <w:color w:val="20201E"/>
          <w:sz w:val="20"/>
          <w:szCs w:val="20"/>
          <w:vertAlign w:val="subscript"/>
        </w:rPr>
        <w:t xml:space="preserve">c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 的线性拟合；三线一同汇聚于空心圆标记处，即 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ρ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(N)=1 给出的 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λ</w:t>
      </w:r>
      <w:r>
        <w:rPr>
          <w:rFonts w:ascii="Calibri" w:cs="Calibri" w:eastAsia="Calibri" w:hAnsi="Calibri"/>
          <w:color w:val="20201E"/>
          <w:sz w:val="20"/>
          <w:szCs w:val="20"/>
          <w:vertAlign w:val="subscript"/>
        </w:rPr>
        <w:t xml:space="preserve">c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（归一化后为 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λ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/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λ</w:t>
      </w:r>
      <w:r>
        <w:rPr>
          <w:rFonts w:ascii="Calibri" w:cs="Calibri" w:eastAsia="Calibri" w:hAnsi="Calibri"/>
          <w:color w:val="20201E"/>
          <w:sz w:val="20"/>
          <w:szCs w:val="20"/>
          <w:vertAlign w:val="subscript"/>
        </w:rPr>
        <w:t xml:space="preserve">c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=1）。</w:t>
      </w:r>
    </w:p>
    <w:p>
      <w:pPr>
        <w:spacing w:after="100" w:before="0" w:line="276"/>
      </w:pPr>
      <w:r>
        <w:rPr>
          <w:rFonts w:ascii="Calibri" w:cs="Calibri" w:eastAsia="Calibri" w:hAnsi="Calibri"/>
          <w:b/>
          <w:bCs/>
          <w:color w:val="1C6E64"/>
          <w:sz w:val="20"/>
          <w:szCs w:val="20"/>
        </w:rPr>
        <w:t xml:space="preserve">（b）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一致性。八组构型的外推值与 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ρ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(N)=1 值落在对角线（identity）上，最大相对偏差 6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×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10</w:t>
      </w:r>
      <w:r>
        <w:rPr>
          <w:rFonts w:ascii="Calibri" w:cs="Calibri" w:eastAsia="Calibri" w:hAnsi="Calibri"/>
          <w:color w:val="20201E"/>
          <w:sz w:val="20"/>
          <w:szCs w:val="20"/>
          <w:vertAlign w:val="superscript"/>
        </w:rPr>
        <w:t xml:space="preserve">−4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。误差棒为回归标准误 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σ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（在此标度下不可见，反映一致程度之高）。</w:t>
      </w:r>
    </w:p>
    <w:p>
      <w:pPr>
        <w:spacing w:after="100" w:before="0" w:line="276"/>
      </w:pPr>
      <w:r>
        <w:rPr>
          <w:rFonts w:ascii="Calibri" w:cs="Calibri" w:eastAsia="Calibri" w:hAnsi="Calibri"/>
          <w:b/>
          <w:bCs/>
          <w:color w:val="1C6E64"/>
          <w:sz w:val="20"/>
          <w:szCs w:val="20"/>
        </w:rPr>
        <w:t xml:space="preserve">（c）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偏离的 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σ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 数。纵轴 (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λ</w:t>
      </w:r>
      <w:r>
        <w:rPr>
          <w:rFonts w:ascii="Calibri" w:cs="Calibri" w:eastAsia="Calibri" w:hAnsi="Calibri"/>
          <w:color w:val="20201E"/>
          <w:sz w:val="20"/>
          <w:szCs w:val="20"/>
          <w:vertAlign w:val="subscript"/>
        </w:rPr>
        <w:t xml:space="preserve">c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^extr − 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λ</w:t>
      </w:r>
      <w:r>
        <w:rPr>
          <w:rFonts w:ascii="Calibri" w:cs="Calibri" w:eastAsia="Calibri" w:hAnsi="Calibri"/>
          <w:color w:val="20201E"/>
          <w:sz w:val="20"/>
          <w:szCs w:val="20"/>
          <w:vertAlign w:val="subscript"/>
        </w:rPr>
        <w:t xml:space="preserve">c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^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ρ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)/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σ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 直接给出每组构型偏离 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ρ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(N)=1 的 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σ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 数；八组全部落在 1.5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σ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 之内，阴影为 ±1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σ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、±2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σ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 带。全部为正是有限窗口凸性所致的微小系统性，量级 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≤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 0.065%。</w:t>
      </w:r>
    </w:p>
    <w:p>
      <w:pPr>
        <w:pBdr>
          <w:bottom w:val="single" w:color="D8D8D2" w:sz="6"/>
        </w:pBdr>
        <w:spacing w:after="120" w:before="60"/>
      </w:pPr>
    </w:p>
    <w:p>
      <w:pPr>
        <w:spacing w:after="0" w:before="0" w:line="276"/>
      </w:pPr>
      <w:r>
        <w:rPr>
          <w:rFonts w:ascii="Calibri" w:cs="Calibri" w:eastAsia="Calibri" w:hAnsi="Calibri"/>
          <w:b/>
          <w:bCs/>
          <w:color w:val="2F5D57"/>
          <w:sz w:val="20"/>
          <w:szCs w:val="20"/>
        </w:rPr>
        <w:t xml:space="preserve">结论：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由亚临界终态外推得到的 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λ</w:t>
      </w:r>
      <w:r>
        <w:rPr>
          <w:rFonts w:ascii="Calibri" w:cs="Calibri" w:eastAsia="Calibri" w:hAnsi="Calibri"/>
          <w:color w:val="20201E"/>
          <w:sz w:val="20"/>
          <w:szCs w:val="20"/>
          <w:vertAlign w:val="subscript"/>
        </w:rPr>
        <w:t xml:space="preserve">c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 与 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ρ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(N)=1 在八组构型上一致到 6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×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10</w:t>
      </w:r>
      <w:r>
        <w:rPr>
          <w:rFonts w:ascii="Calibri" w:cs="Calibri" w:eastAsia="Calibri" w:hAnsi="Calibri"/>
          <w:color w:val="20201E"/>
          <w:sz w:val="20"/>
          <w:szCs w:val="20"/>
          <w:vertAlign w:val="superscript"/>
        </w:rPr>
        <w:t xml:space="preserve">−4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、全部 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≤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 1.5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σ</w:t>
      </w:r>
      <w:r>
        <w:rPr>
          <w:rFonts w:ascii="Calibri" w:cs="Calibri" w:eastAsia="Calibri" w:hAnsi="Calibri"/>
          <w:color w:val="20201E"/>
          <w:sz w:val="20"/>
          <w:szCs w:val="20"/>
        </w:rPr>
        <w:t xml:space="preserve">；这是对爆发阈值的一次全非线性、独立的确认，与数值 Jacobian 复核（检验线性化谱）互补。</w:t>
      </w:r>
    </w:p>
    <w:sectPr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0201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c0a0acb9e23aa5c1c48bb1d88c60f5ecccb0ed2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2026-08-16T15:18:33.664Z</dcterms:created>
  <dcterms:modified xsi:type="dcterms:W3CDTF">2026-08-16T15:18:33.664Z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