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20201E"/>
          <w:sz w:val="32"/>
          <w:szCs w:val="32"/>
        </w:rPr>
        <w:t xml:space="preserve">由亚临界终态外推测定爆发阈值 </w:t>
      </w:r>
      <w:r>
        <w:rPr>
          <w:rFonts w:ascii="Cambria Math" w:cs="Cambria Math" w:eastAsia="Cambria Math" w:hAnsi="Cambria Math"/>
          <w:b/>
          <w:bCs/>
          <w:color w:val="20201E"/>
          <w:sz w:val="32"/>
          <w:szCs w:val="32"/>
        </w:rPr>
        <w:t xml:space="preserve">λ</w:t>
      </w:r>
      <w:r>
        <w:rPr>
          <w:rFonts w:ascii="Cambria Math" w:cs="Cambria Math" w:eastAsia="Cambria Math" w:hAnsi="Cambria Math"/>
          <w:b/>
          <w:bCs/>
          <w:color w:val="20201E"/>
          <w:sz w:val="32"/>
          <w:szCs w:val="32"/>
          <w:vertAlign w:val="subscript"/>
        </w:rPr>
        <w:t xml:space="preserve">c</w:t>
      </w:r>
      <w:r>
        <w:rPr>
          <w:rFonts w:ascii="Microsoft YaHei" w:cs="Microsoft YaHei" w:eastAsia="Microsoft YaHei" w:hAnsi="Microsoft YaHei"/>
          <w:b/>
          <w:bCs/>
          <w:color w:val="20201E"/>
          <w:sz w:val="32"/>
          <w:szCs w:val="32"/>
        </w:rPr>
        <w:t xml:space="preserve">：模型、理论与结果</w:t>
      </w:r>
    </w:p>
    <w:p>
      <w:pPr>
        <w:spacing w:after="150"/>
      </w:pPr>
      <w:r>
        <w:rPr>
          <w:rFonts w:ascii="Microsoft YaHei" w:cs="Microsoft YaHei" w:eastAsia="Microsoft YaHei" w:hAnsi="Microsoft YaHei"/>
          <w:i/>
          <w:iCs/>
          <w:color w:val="6B6A63"/>
          <w:sz w:val="19"/>
          <w:szCs w:val="19"/>
        </w:rPr>
        <w:t xml:space="preserve">多重超图上的 SIR 传播（群体闭合理论）· 正文形式，仿 SIAM Review 风格</w:t>
      </w:r>
    </w:p>
    <w:p>
      <w:pPr>
        <w:pBdr>
          <w:bottom w:val="single" w:color="D8D8D2" w:sz="6"/>
        </w:pBdr>
        <w:spacing w:after="130" w:before="40"/>
      </w:pPr>
    </w:p>
    <w:p>
      <w:pPr>
        <w:spacing w:after="110" w:before="260"/>
      </w:pPr>
      <w:r>
        <w:rPr>
          <w:rFonts w:ascii="Microsoft YaHei" w:cs="Microsoft YaHei" w:eastAsia="Microsoft YaHei" w:hAnsi="Microsoft YaHei"/>
          <w:b/>
          <w:bCs/>
          <w:color w:val="1C5C54"/>
          <w:sz w:val="26"/>
          <w:szCs w:val="26"/>
        </w:rPr>
        <w:t xml:space="preserve">概述</w:t>
      </w:r>
    </w:p>
    <w:p>
      <w:pPr>
        <w:spacing w:after="130" w:before="0" w:line="288"/>
      </w:pP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把群体闭合约化为低维动力系统后，爆发阈值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c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——控制参数 λ 使无穷小种子首次点燃宏观爆发的临界值——可由两条逻辑独立的路线测定。其一为</w:t>
      </w:r>
      <w:r>
        <w:rPr>
          <w:rFonts w:ascii="Microsoft YaHei" w:cs="Microsoft YaHei" w:eastAsia="Microsoft YaHei" w:hAnsi="Microsoft YaHei"/>
          <w:b/>
          <w:bCs/>
          <w:color w:val="20201E"/>
          <w:sz w:val="21"/>
          <w:szCs w:val="21"/>
        </w:rPr>
        <w:t xml:space="preserve">谱方法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：线性化把感染由群体传向群体的分支过程，问其平均后代算子何时首次出现单位特征值。其二（本文用作独立校验）在精神上是</w:t>
      </w:r>
      <w:r>
        <w:rPr>
          <w:rFonts w:ascii="Microsoft YaHei" w:cs="Microsoft YaHei" w:eastAsia="Microsoft YaHei" w:hAnsi="Microsoft YaHei"/>
          <w:b/>
          <w:bCs/>
          <w:color w:val="20201E"/>
          <w:sz w:val="21"/>
          <w:szCs w:val="21"/>
        </w:rPr>
        <w:t xml:space="preserve">热力学式的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：始终停在阈值以下，测量小种子的爆发规模如何随 λ 增大而发散，并由该发散读出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c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。两条路线不共享任何中间量——一条对角化由联合层度分布构造的矩阵，另一条把完整非线性闭合积分至终态——故二者一致构成对彼此的非平凡检验，即图 2 所报告者。</w:t>
      </w:r>
    </w:p>
    <w:p>
      <w:pPr>
        <w:spacing w:after="110" w:before="260"/>
      </w:pPr>
      <w:r>
        <w:rPr>
          <w:rFonts w:ascii="Microsoft YaHei" w:cs="Microsoft YaHei" w:eastAsia="Microsoft YaHei" w:hAnsi="Microsoft YaHei"/>
          <w:b/>
          <w:bCs/>
          <w:color w:val="1C5C54"/>
          <w:sz w:val="26"/>
          <w:szCs w:val="26"/>
        </w:rPr>
        <w:t xml:space="preserve">一、模型与次代矩阵</w:t>
      </w:r>
    </w:p>
    <w:p>
      <w:pPr>
        <w:spacing w:after="130" w:before="0" w:line="288"/>
      </w:pP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我们在</w:t>
      </w:r>
      <w:r>
        <w:rPr>
          <w:rFonts w:ascii="Microsoft YaHei" w:cs="Microsoft YaHei" w:eastAsia="Microsoft YaHei" w:hAnsi="Microsoft YaHei"/>
          <w:b/>
          <w:bCs/>
          <w:color w:val="20201E"/>
          <w:sz w:val="21"/>
          <w:szCs w:val="21"/>
        </w:rPr>
        <w:t xml:space="preserve">多重超图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上传播 SIR 过程：节点归属于 M 个层的群体，层 a 是同质基数为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m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a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的超图。节点的参与由层度向量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k=(k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perscript"/>
        </w:rPr>
        <w:t xml:space="preserve">(1)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,…,k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perscript"/>
        </w:rPr>
        <w:t xml:space="preserve">(M)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)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编码，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perscript"/>
        </w:rPr>
        <w:t xml:space="preserve">(a)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为其所属层 a 群体数，联合分布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P(k)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；一切层间结构只经由矩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⟨k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⟩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⟨k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perscript"/>
        </w:rPr>
        <w:t xml:space="preserve">(b)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⟩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进入理论。一个群体在其至少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θ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a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名成员受感染后</w:t>
      </w:r>
      <w:r>
        <w:rPr>
          <w:rFonts w:ascii="Microsoft YaHei" w:cs="Microsoft YaHei" w:eastAsia="Microsoft YaHei" w:hAnsi="Microsoft YaHei"/>
          <w:b/>
          <w:bCs/>
          <w:color w:val="20201E"/>
          <w:sz w:val="21"/>
          <w:szCs w:val="21"/>
        </w:rPr>
        <w:t xml:space="preserve">激活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，随即以速率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β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=λw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μ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向每个易感成员传递；感染者以速率 μ 康复，故重标时间后模型只余单一标量控制 λ（渠道权重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w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a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固定）。固定一个空腔节点、对其每个群体追踪除它以外成员的 (易感, 感染, 康复) 计数，得到一个闭合的常微分方程组，其维数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∑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C(m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+1,2)+2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与系统规模 N 无关；其终态由下式定出爆发规模：</w:t>
      </w:r>
    </w:p>
    <w:p>
      <w:pPr>
        <w:spacing w:after="120" w:before="60" w:line="276"/>
        <w:jc w:val="center"/>
      </w:pP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R(∞) = 1 − (1 − ε)·Ψ(Φ(∞))</w:t>
      </w:r>
    </w:p>
    <w:p>
      <w:pPr>
        <w:spacing w:after="130" w:before="0" w:line="288"/>
      </w:pP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其中 ε 为初始播种比例，Ψ 为节点侧生成函数，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a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为层 a 群体尚未向空腔节点传递的概率。</w:t>
      </w:r>
    </w:p>
    <w:tbl>
      <w:tblPr>
        <w:tblW w:type="dxa" w:w="9360"/>
        <w:tblBorders>
          <w:top w:val="single" w:color="BCCEC9" w:sz="6"/>
          <w:left w:val="single" w:color="BCCEC9" w:sz="6"/>
          <w:bottom w:val="single" w:color="BCCEC9" w:sz="6"/>
          <w:right w:val="single" w:color="BCCEC9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6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C6E64"/>
                <w:sz w:val="22"/>
                <w:szCs w:val="22"/>
              </w:rPr>
              <w:t xml:space="preserve">Box 1　群内级联与次代矩阵</w:t>
            </w:r>
          </w:p>
          <w:p>
            <w:pPr>
              <w:spacing w:after="60" w:before="0" w:line="288"/>
            </w:pP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无向群体的新意在于：群内被感染的成员会延长该群体的激活时长，从而提高其余成员被感染的概率——这一</w:t>
            </w:r>
            <w:r>
              <w:rPr>
                <w:rFonts w:ascii="Microsoft YaHei" w:cs="Microsoft YaHei" w:eastAsia="Microsoft YaHei" w:hAnsi="Microsoft YaHei"/>
                <w:b/>
                <w:bCs/>
                <w:color w:val="20201E"/>
                <w:sz w:val="21"/>
                <w:szCs w:val="21"/>
              </w:rPr>
              <w:t xml:space="preserve">群内级联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在成对或有向情形下不存在。对孤立 m 元群体中的单个种子，设 u(i,s) 为从 i 个感染、s 个易感出发此后新增感染数的期望，以 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α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i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=λs·1[i≥θ]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 记群体总感染率（以康复率为单位），则</w:t>
            </w:r>
          </w:p>
          <w:p>
            <w:pPr>
              <w:spacing w:after="120" w:before="60" w:line="276"/>
              <w:jc w:val="center"/>
            </w:pP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u(i,s) = [α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i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/(α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i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+i)]·[1 + u(i+1, s−1)] + [i/(α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i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+i)]·u(i−1, s)</w:t>
            </w:r>
          </w:p>
          <w:p>
            <w:pPr>
              <w:spacing w:after="120" w:before="60" w:line="276"/>
              <w:jc w:val="center"/>
            </w:pP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u(0,s)=u(i,0)=0,     C(m,λ,θ) = u(1, m−1)</w:t>
            </w:r>
          </w:p>
          <w:p>
            <w:pPr>
              <w:spacing w:after="60" w:before="0" w:line="288"/>
            </w:pP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级联规模 C 是可精确计算的标量：退化为成对传递概率 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C(2,λ,1)=λ/(1+λ)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，在 m≥3 时超出线性估计 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(m−1)λ/(1+λ)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，而 θ≥2 时为零（单个种子无法激活群体）。爆发按多型分支过程展开，型即“节点经由哪一层被感染”。经由层 a 感染的节点，在其</w:t>
            </w:r>
            <w:r>
              <w:rPr>
                <w:rFonts w:ascii="Microsoft YaHei" w:cs="Microsoft YaHei" w:eastAsia="Microsoft YaHei" w:hAnsi="Microsoft YaHei"/>
                <w:i/>
                <w:iCs/>
                <w:color w:val="20201E"/>
                <w:sz w:val="21"/>
                <w:szCs w:val="21"/>
              </w:rPr>
              <w:t xml:space="preserve">其余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 层 b 群体中各点燃 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C(m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b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,λ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b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,θ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b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)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 个新感染，而这样的群体平均有 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⟨k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perscript"/>
              </w:rPr>
              <w:t xml:space="preserve">(a)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k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perscript"/>
              </w:rPr>
              <w:t xml:space="preserve">(b)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⟩/⟨k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perscript"/>
              </w:rPr>
              <w:t xml:space="preserve">(a)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⟩−δ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ab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 个。故平均后代（次代）矩阵为</w:t>
            </w:r>
          </w:p>
          <w:p>
            <w:pPr>
              <w:spacing w:after="120" w:before="60" w:line="276"/>
              <w:jc w:val="center"/>
            </w:pP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N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ab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 = C(m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b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, λ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b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, θ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b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)·[ ⟨k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perscript"/>
              </w:rPr>
              <w:t xml:space="preserve">(a)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k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perscript"/>
              </w:rPr>
              <w:t xml:space="preserve">(b)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⟩ / ⟨k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perscript"/>
              </w:rPr>
              <w:t xml:space="preserve">(a)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⟩ − δ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ab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 ],     λ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b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 = λ w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b</w:t>
            </w:r>
          </w:p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爆发阈值即其谱半径达到 1 之处，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ρ(N)=1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。全部 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m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a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=2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 时回到多层网络 SIR 的次代矩阵；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M=1, m=2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 时回到配置模型的标量阈值 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⟨k⟩/(⟨k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⟩−⟨k⟩)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10" w:before="260"/>
      </w:pPr>
      <w:r>
        <w:rPr>
          <w:rFonts w:ascii="Microsoft YaHei" w:cs="Microsoft YaHei" w:eastAsia="Microsoft YaHei" w:hAnsi="Microsoft YaHei"/>
          <w:b/>
          <w:bCs/>
          <w:color w:val="1C5C54"/>
          <w:sz w:val="26"/>
          <w:szCs w:val="26"/>
        </w:rPr>
        <w:t xml:space="preserve">二、由亚临界终态读出阈值</w:t>
      </w:r>
    </w:p>
    <w:p>
      <w:pPr>
        <w:spacing w:after="130" w:before="0" w:line="288"/>
      </w:pP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阈值以下，小种子只造成有限爆发，但其期望规模随 λ→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perscript"/>
        </w:rPr>
        <w:t xml:space="preserve">−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无界增长。播种一个随机节点，其此后感染节点数的期望在分支近似下为</w:t>
      </w:r>
    </w:p>
    <w:p>
      <w:pPr>
        <w:spacing w:after="120" w:before="60" w:line="276"/>
        <w:jc w:val="center"/>
      </w:pP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χ(λ) = 1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perscript"/>
        </w:rPr>
        <w:t xml:space="preserve">T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(I − N)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perscript"/>
        </w:rPr>
        <w:t xml:space="preserve">−1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 v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0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 = 1 + 1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perscript"/>
        </w:rPr>
        <w:t xml:space="preserve">T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(I − N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perscript"/>
        </w:rPr>
        <w:t xml:space="preserve">T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)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perscript"/>
        </w:rPr>
        <w:t xml:space="preserve">−1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 g,     g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 = ⟨k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perscript"/>
        </w:rPr>
        <w:t xml:space="preserve">(b)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⟩·C(m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, λ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, θ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)</w:t>
      </w:r>
    </w:p>
    <w:p>
      <w:pPr>
        <w:spacing w:after="130" w:before="0" w:line="288"/>
      </w:pP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其中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v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0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为种子的型分布、g 为其首代。该平均规模的极点来自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(I−N)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perscript"/>
        </w:rPr>
        <w:t xml:space="preserve">−1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，故恰在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ρ(N)=1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处按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(1−ρ)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perscript"/>
        </w:rPr>
        <w:t xml:space="preserve">−1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发散；须注意</w:t>
      </w:r>
      <w:r>
        <w:rPr>
          <w:rFonts w:ascii="Microsoft YaHei" w:cs="Microsoft YaHei" w:eastAsia="Microsoft YaHei" w:hAnsi="Microsoft YaHei"/>
          <w:b/>
          <w:bCs/>
          <w:color w:val="20201E"/>
          <w:sz w:val="21"/>
          <w:szCs w:val="21"/>
        </w:rPr>
        <w:t xml:space="preserve">不可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将其写成标量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1/(1−ρ)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，除非 M=1 或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v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0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恰为 Perron 向量。其实际后果是：它的倒数是一条光滑函数，在阈值处</w:t>
      </w:r>
      <w:r>
        <w:rPr>
          <w:rFonts w:ascii="Microsoft YaHei" w:cs="Microsoft YaHei" w:eastAsia="Microsoft YaHei" w:hAnsi="Microsoft YaHei"/>
          <w:b/>
          <w:bCs/>
          <w:color w:val="20201E"/>
          <w:sz w:val="21"/>
          <w:szCs w:val="21"/>
        </w:rPr>
        <w:t xml:space="preserve">线性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穿过零点，因而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c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即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ε/R(∞)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的零点。由于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R(∞)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由积分完整非线性闭合得到、而非对角化 N，这条路线在真正独立于特征值条件的意义下测定了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c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BCCEC9" w:sz="6"/>
          <w:left w:val="single" w:color="BCCEC9" w:sz="6"/>
          <w:bottom w:val="single" w:color="BCCEC9" w:sz="6"/>
          <w:right w:val="single" w:color="BCCEC9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6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C6E64"/>
                <w:sz w:val="22"/>
                <w:szCs w:val="22"/>
              </w:rPr>
              <w:t xml:space="preserve">Box 2　亚临界外推</w:t>
            </w:r>
          </w:p>
          <w:p>
            <w:pPr>
              <w:spacing w:after="60" w:before="0" w:line="288"/>
            </w:pP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对一组亚临界值 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λ&lt;λ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c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，把闭合积分至终态并作逆爆发规模</w:t>
            </w:r>
          </w:p>
          <w:p>
            <w:pPr>
              <w:spacing w:after="120" w:before="60" w:line="276"/>
              <w:jc w:val="center"/>
            </w:pP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y(λ) = ε/R(∞) = 1/χ(λ)  →  0     (λ → λ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c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perscript"/>
              </w:rPr>
              <w:t xml:space="preserve">−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),     y ≈ c·(λ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c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 − λ)  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（近阈值）</w:t>
            </w:r>
          </w:p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其线性零点即 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λ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c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。有限种子会磨圆过渡、在 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λ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c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 处仍留下非零 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R(∞)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，使零点略偏高；因 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R(∞)/ε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 对小 ε 为线性，此偏置由 ε→0 的 Richardson 外推消去。随 ε→0，积分终态逐点收敛到解析预言 χ——ε 由 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2×10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perscript"/>
              </w:rPr>
              <w:t xml:space="preserve">−4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 减半至 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10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perscript"/>
              </w:rPr>
              <w:t xml:space="preserve">−5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 时相对差由 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3.7×10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perscript"/>
              </w:rPr>
              <w:t xml:space="preserve">−3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 降到 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1.1×10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perscript"/>
              </w:rPr>
              <w:t xml:space="preserve">−5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——证实闭合的亚临界规模精确为 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1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perscript"/>
              </w:rPr>
              <w:t xml:space="preserve">T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(I−N)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perscript"/>
              </w:rPr>
              <w:t xml:space="preserve">−1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v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  <w:vertAlign w:val="subscript"/>
              </w:rPr>
              <w:t xml:space="preserve">0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，其极点严格钉在 </w:t>
            </w:r>
            <w:r>
              <w:rPr>
                <w:rFonts w:ascii="Cambria Math" w:cs="Cambria Math" w:eastAsia="Cambria Math" w:hAnsi="Cambria Math"/>
                <w:color w:val="20201E"/>
                <w:sz w:val="21"/>
                <w:szCs w:val="21"/>
              </w:rPr>
              <w:t xml:space="preserve">ρ(N)=1</w:t>
            </w:r>
            <w:r>
              <w:rPr>
                <w:rFonts w:ascii="Microsoft YaHei" w:cs="Microsoft YaHei" w:eastAsia="Microsoft YaHei" w:hAnsi="Microsoft YaHei"/>
                <w:color w:val="20201E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10" w:before="260"/>
      </w:pPr>
      <w:r>
        <w:rPr>
          <w:rFonts w:ascii="Microsoft YaHei" w:cs="Microsoft YaHei" w:eastAsia="Microsoft YaHei" w:hAnsi="Microsoft YaHei"/>
          <w:b/>
          <w:bCs/>
          <w:color w:val="1C5C54"/>
          <w:sz w:val="26"/>
          <w:szCs w:val="26"/>
        </w:rPr>
        <w:t xml:space="preserve">三、结果</w:t>
      </w:r>
    </w:p>
    <w:p>
      <w:pPr>
        <w:spacing w:after="130" w:before="0" w:line="288"/>
      </w:pP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图 2 在八组构型上执行上述方案，其阈值覆盖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∈[0.08,0.40]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，含单层高阶超图、成对退化网络与双层多重超图。面板 (a) 中逆爆发规模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ε/R(∞)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随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λ/λ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→1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线性坍缩到零，三条示例线在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ρ(N)=1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预言处交于同一空心圆。面板 (b) 把外推阈值对谱阈值作图：八组全落在对角线上，最大相对偏差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6×10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perscript"/>
        </w:rPr>
        <w:t xml:space="preserve">−4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。面板 (c) 以外推截距的回归标准误 σ 为单位给出每组偏离；全部落在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ρ(N)=1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的 1.5σ 之内。</w:t>
      </w:r>
    </w:p>
    <w:tbl>
      <w:tblPr>
        <w:tblW w:type="dxa" w:w="9160"/>
        <w:tblBorders>
          <w:top w:val="single" w:color="B9C6C3" w:sz="4"/>
          <w:left w:val="none"/>
          <w:bottom w:val="single" w:color="B9C6C3" w:sz="4"/>
          <w:right w:val="none"/>
          <w:insideH w:val="single" w:color="E2E2DC" w:sz="2"/>
          <w:insideV w:val="none"/>
        </w:tblBorders>
      </w:tblPr>
      <w:tblGrid>
        <w:gridCol w:w="2260"/>
        <w:gridCol w:w="1560"/>
        <w:gridCol w:w="1560"/>
        <w:gridCol w:w="1300"/>
        <w:gridCol w:w="1340"/>
        <w:gridCol w:w="1140"/>
      </w:tblGrid>
      <w:tr>
        <w:trPr>
          <w:cantSplit/>
          <w:tblHeader/>
        </w:trPr>
        <w:tc>
          <w:tcPr>
            <w:tcW w:type="dxa" w:w="2260"/>
            <w:shd w:fill="E1EE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C5C54"/>
                <w:sz w:val="18"/>
                <w:szCs w:val="18"/>
              </w:rPr>
              <w:t xml:space="preserve">构型</w:t>
            </w:r>
          </w:p>
        </w:tc>
        <w:tc>
          <w:tcPr>
            <w:tcW w:type="dxa" w:w="1560"/>
            <w:shd w:fill="E1EE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C5C54"/>
                <w:sz w:val="18"/>
                <w:szCs w:val="18"/>
              </w:rPr>
              <w:t xml:space="preserve">λc [ρ(N)=1]</w:t>
            </w:r>
          </w:p>
        </w:tc>
        <w:tc>
          <w:tcPr>
            <w:tcW w:type="dxa" w:w="1560"/>
            <w:shd w:fill="E1EE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C5C54"/>
                <w:sz w:val="18"/>
                <w:szCs w:val="18"/>
              </w:rPr>
              <w:t xml:space="preserve">λc [外推]</w:t>
            </w:r>
          </w:p>
        </w:tc>
        <w:tc>
          <w:tcPr>
            <w:tcW w:type="dxa" w:w="1300"/>
            <w:shd w:fill="E1EE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C5C54"/>
                <w:sz w:val="18"/>
                <w:szCs w:val="18"/>
              </w:rPr>
              <w:t xml:space="preserve">相对偏差</w:t>
            </w:r>
          </w:p>
        </w:tc>
        <w:tc>
          <w:tcPr>
            <w:tcW w:type="dxa" w:w="1340"/>
            <w:shd w:fill="E1EE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C5C54"/>
                <w:sz w:val="18"/>
                <w:szCs w:val="18"/>
              </w:rPr>
              <w:t xml:space="preserve">σ</w:t>
            </w:r>
          </w:p>
        </w:tc>
        <w:tc>
          <w:tcPr>
            <w:tcW w:type="dxa" w:w="1140"/>
            <w:shd w:fill="E1EE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C5C54"/>
                <w:sz w:val="18"/>
                <w:szCs w:val="18"/>
              </w:rPr>
              <w:t xml:space="preserve">偏离 (σ)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2-layer m=(4,4)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0.080302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0.080354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+0.065%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3.4×10</w:t>
            </w: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1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+1.51</w:t>
            </w:r>
          </w:p>
        </w:tc>
      </w:tr>
      <w:tr>
        <w:trPr>
          <w:cantSplit/>
          <w:tblHeader w:val="false"/>
        </w:trPr>
        <w:tc>
          <w:tcPr>
            <w:tcW w:type="dxa" w:w="22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2-layer m=(3,4)</w:t>
            </w:r>
          </w:p>
        </w:tc>
        <w:tc>
          <w:tcPr>
            <w:tcW w:type="dxa" w:w="15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0.099309</w:t>
            </w:r>
          </w:p>
        </w:tc>
        <w:tc>
          <w:tcPr>
            <w:tcW w:type="dxa" w:w="15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0.099370</w:t>
            </w:r>
          </w:p>
        </w:tc>
        <w:tc>
          <w:tcPr>
            <w:tcW w:type="dxa" w:w="13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+0.062%</w:t>
            </w:r>
          </w:p>
        </w:tc>
        <w:tc>
          <w:tcPr>
            <w:tcW w:type="dxa" w:w="134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4.4×10</w:t>
            </w: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14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+1.38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2-layer m=(3,3)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0.128162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0.128236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+0.058%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5.9×10</w:t>
            </w: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1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+1.26</w:t>
            </w:r>
          </w:p>
        </w:tc>
      </w:tr>
      <w:tr>
        <w:trPr>
          <w:cantSplit/>
          <w:tblHeader w:val="false"/>
        </w:trPr>
        <w:tc>
          <w:tcPr>
            <w:tcW w:type="dxa" w:w="22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3-reg. m=4</w:t>
            </w:r>
          </w:p>
        </w:tc>
        <w:tc>
          <w:tcPr>
            <w:tcW w:type="dxa" w:w="15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0.174483</w:t>
            </w:r>
          </w:p>
        </w:tc>
        <w:tc>
          <w:tcPr>
            <w:tcW w:type="dxa" w:w="15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0.174536</w:t>
            </w:r>
          </w:p>
        </w:tc>
        <w:tc>
          <w:tcPr>
            <w:tcW w:type="dxa" w:w="13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+0.031%</w:t>
            </w:r>
          </w:p>
        </w:tc>
        <w:tc>
          <w:tcPr>
            <w:tcW w:type="dxa" w:w="134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9.8×10</w:t>
            </w: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14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+0.55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2-layer m=(2,3)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0.185417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0.185512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+0.052%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9.3×10</w:t>
            </w: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1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+1.03</w:t>
            </w:r>
          </w:p>
        </w:tc>
      </w:tr>
      <w:tr>
        <w:trPr>
          <w:cantSplit/>
          <w:tblHeader w:val="false"/>
        </w:trPr>
        <w:tc>
          <w:tcPr>
            <w:tcW w:type="dxa" w:w="22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6-reg. pairwise</w:t>
            </w:r>
          </w:p>
        </w:tc>
        <w:tc>
          <w:tcPr>
            <w:tcW w:type="dxa" w:w="15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0.250000</w:t>
            </w:r>
          </w:p>
        </w:tc>
        <w:tc>
          <w:tcPr>
            <w:tcW w:type="dxa" w:w="15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0.250096</w:t>
            </w:r>
          </w:p>
        </w:tc>
        <w:tc>
          <w:tcPr>
            <w:tcW w:type="dxa" w:w="13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+0.039%</w:t>
            </w:r>
          </w:p>
        </w:tc>
        <w:tc>
          <w:tcPr>
            <w:tcW w:type="dxa" w:w="134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1.3×10</w:t>
            </w: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14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+0.76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5-reg. pairwise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0.333333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0.333440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+0.032%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1.9×10</w:t>
            </w: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1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+0.57</w:t>
            </w:r>
          </w:p>
        </w:tc>
      </w:tr>
      <w:tr>
        <w:trPr>
          <w:cantSplit/>
          <w:tblHeader w:val="false"/>
        </w:trPr>
        <w:tc>
          <w:tcPr>
            <w:tcW w:type="dxa" w:w="22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1-layer m=3</w:t>
            </w:r>
          </w:p>
        </w:tc>
        <w:tc>
          <w:tcPr>
            <w:tcW w:type="dxa" w:w="15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0.400567</w:t>
            </w:r>
          </w:p>
        </w:tc>
        <w:tc>
          <w:tcPr>
            <w:tcW w:type="dxa" w:w="15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0.400702</w:t>
            </w:r>
          </w:p>
        </w:tc>
        <w:tc>
          <w:tcPr>
            <w:tcW w:type="dxa" w:w="13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+0.034%</w:t>
            </w:r>
          </w:p>
        </w:tc>
        <w:tc>
          <w:tcPr>
            <w:tcW w:type="dxa" w:w="134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2.9×10</w:t>
            </w: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14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+0.47</w:t>
            </w:r>
          </w:p>
        </w:tc>
      </w:tr>
    </w:tbl>
    <w:p>
      <w:pPr>
        <w:spacing w:after="130" w:before="40" w:line="288"/>
      </w:pP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微小残余为线性律的</w:t>
      </w:r>
      <w:r>
        <w:rPr>
          <w:rFonts w:ascii="Microsoft YaHei" w:cs="Microsoft YaHei" w:eastAsia="Microsoft YaHei" w:hAnsi="Microsoft YaHei"/>
          <w:b/>
          <w:bCs/>
          <w:color w:val="20201E"/>
          <w:sz w:val="21"/>
          <w:szCs w:val="21"/>
        </w:rPr>
        <w:t xml:space="preserve">有限窗口效应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：逆规模仅在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c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紧邻严格线性，故有限窗口拟合带一个偏置，其符号随窗口位置翻转、量级与 σ 相当，因而不可与真实偏离区分。</w:t>
      </w:r>
    </w:p>
    <w:p>
      <w:pPr>
        <w:spacing w:after="60" w:before="80"/>
        <w:jc w:val="center"/>
      </w:pPr>
      <w:r>
        <w:drawing>
          <wp:inline distT="0" distB="0" distL="0" distR="0">
            <wp:extent cx="5905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Microsoft YaHei" w:cs="Microsoft YaHei" w:eastAsia="Microsoft YaHei" w:hAnsi="Microsoft YaHei"/>
          <w:i/>
          <w:iCs/>
          <w:color w:val="6B6A63"/>
          <w:sz w:val="18"/>
          <w:szCs w:val="18"/>
        </w:rPr>
        <w:t xml:space="preserve">图 2　由亚临界终态外推测定爆发阈值 </w:t>
      </w:r>
      <w:r>
        <w:rPr>
          <w:rFonts w:ascii="Cambria Math" w:cs="Cambria Math" w:eastAsia="Cambria Math" w:hAnsi="Cambria Math"/>
          <w:i/>
          <w:iCs/>
          <w:color w:val="6B6A63"/>
          <w:sz w:val="18"/>
          <w:szCs w:val="18"/>
        </w:rPr>
        <w:t xml:space="preserve">λc</w:t>
      </w:r>
      <w:r>
        <w:rPr>
          <w:rFonts w:ascii="Microsoft YaHei" w:cs="Microsoft YaHei" w:eastAsia="Microsoft YaHei" w:hAnsi="Microsoft YaHei"/>
          <w:i/>
          <w:iCs/>
          <w:color w:val="6B6A63"/>
          <w:sz w:val="18"/>
          <w:szCs w:val="18"/>
        </w:rPr>
        <w:t xml:space="preserve">，并与 ρ(N)=1 独立比对。(a) 方法：ε/R(∞) 随 λ/λc 线性趋零，散点为 ε→0 闭合终态、实线为窗口 [0.90,0.995]λc 的线性拟合，空心圆为 ρ(N)=1。(b) 八组构型外推值 vs 谱值落在对角线上，最大相对偏差 6×10⁻⁴。(c) 偏离的 σ 数，全部 ≤1.5σ（阴影 ±1σ、±2σ）。</w:t>
      </w:r>
    </w:p>
    <w:p>
      <w:pPr>
        <w:spacing w:after="110" w:before="260"/>
      </w:pPr>
      <w:r>
        <w:rPr>
          <w:rFonts w:ascii="Microsoft YaHei" w:cs="Microsoft YaHei" w:eastAsia="Microsoft YaHei" w:hAnsi="Microsoft YaHei"/>
          <w:b/>
          <w:bCs/>
          <w:color w:val="1C5C54"/>
          <w:sz w:val="26"/>
          <w:szCs w:val="26"/>
        </w:rPr>
        <w:t xml:space="preserve">四、理论与数据正确性核验</w:t>
      </w:r>
    </w:p>
    <w:p>
      <w:pPr>
        <w:spacing w:after="130" w:before="0" w:line="288"/>
      </w:pP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正文每一条论断都由不共享代码的独立核验支撑，全部通过（脚本：verify.py / verify_ode.py / datacheck.py / recheck_mc.py）。</w:t>
      </w:r>
    </w:p>
    <w:p>
      <w:pPr>
        <w:spacing w:after="60" w:before="0" w:line="288"/>
      </w:pPr>
      <w:r>
        <w:rPr>
          <w:rFonts w:ascii="Microsoft YaHei" w:cs="Microsoft YaHei" w:eastAsia="Microsoft YaHei" w:hAnsi="Microsoft YaHei"/>
          <w:b/>
          <w:bCs/>
          <w:color w:val="1C5C54"/>
          <w:sz w:val="19"/>
          <w:szCs w:val="19"/>
        </w:rPr>
        <w:t xml:space="preserve">表 A　解析锚点与闭合自检</w:t>
      </w:r>
    </w:p>
    <w:tbl>
      <w:tblPr>
        <w:tblW w:type="dxa" w:w="9360"/>
        <w:tblBorders>
          <w:top w:val="single" w:color="B9C6C3" w:sz="4"/>
          <w:left w:val="none"/>
          <w:bottom w:val="single" w:color="B9C6C3" w:sz="4"/>
          <w:right w:val="none"/>
          <w:insideH w:val="single" w:color="E2E2DC" w:sz="2"/>
          <w:insideV w:val="none"/>
        </w:tblBorders>
      </w:tblPr>
      <w:tblGrid>
        <w:gridCol w:w="3260"/>
        <w:gridCol w:w="2500"/>
        <w:gridCol w:w="2600"/>
        <w:gridCol w:w="1000"/>
      </w:tblGrid>
      <w:tr>
        <w:trPr>
          <w:cantSplit/>
          <w:tblHeader/>
        </w:trPr>
        <w:tc>
          <w:tcPr>
            <w:tcW w:type="dxa" w:w="3260"/>
            <w:shd w:fill="E1EE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C5C54"/>
                <w:sz w:val="18"/>
                <w:szCs w:val="18"/>
              </w:rPr>
              <w:t xml:space="preserve">核验项</w:t>
            </w:r>
          </w:p>
        </w:tc>
        <w:tc>
          <w:tcPr>
            <w:tcW w:type="dxa" w:w="2500"/>
            <w:shd w:fill="E1EE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C5C54"/>
                <w:sz w:val="18"/>
                <w:szCs w:val="18"/>
              </w:rPr>
              <w:t xml:space="preserve">期望</w:t>
            </w:r>
          </w:p>
        </w:tc>
        <w:tc>
          <w:tcPr>
            <w:tcW w:type="dxa" w:w="2600"/>
            <w:shd w:fill="E1EE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C5C54"/>
                <w:sz w:val="18"/>
                <w:szCs w:val="18"/>
              </w:rPr>
              <w:t xml:space="preserve">计算结果</w:t>
            </w:r>
          </w:p>
        </w:tc>
        <w:tc>
          <w:tcPr>
            <w:tcW w:type="dxa" w:w="1000"/>
            <w:shd w:fill="E1EE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C5C54"/>
                <w:sz w:val="18"/>
                <w:szCs w:val="18"/>
              </w:rPr>
              <w:t xml:space="preserve">状态</w:t>
            </w:r>
          </w:p>
        </w:tc>
      </w:tr>
      <w:tr>
        <w:trPr>
          <w:cantSplit/>
          <w:tblHeader w:val="false"/>
        </w:trPr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C(2,λ,1)=λ/(1+λ)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精确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λ=0.13/0.35/1/2 到 10</w:t>
            </w: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  <w:vertAlign w:val="superscript"/>
              </w:rPr>
              <w:t xml:space="preserve">−12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2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C(3,4,5; λ=1) 超出 (m−1)T</w:t>
            </w:r>
          </w:p>
        </w:tc>
        <w:tc>
          <w:tcPr>
            <w:tcW w:type="dxa" w:w="25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11 / 22 / 31 %</w:t>
            </w:r>
          </w:p>
        </w:tc>
        <w:tc>
          <w:tcPr>
            <w:tcW w:type="dxa" w:w="26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11.11 / 21.53 / 31.05 %</w:t>
            </w:r>
          </w:p>
        </w:tc>
        <w:tc>
          <w:tcPr>
            <w:tcW w:type="dxa" w:w="10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θ≥2 单种子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C = 0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2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Anchor A：m=(3,3), λ=0.13</w:t>
            </w:r>
          </w:p>
        </w:tc>
        <w:tc>
          <w:tcPr>
            <w:tcW w:type="dxa" w:w="25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ρ=1.013</w:t>
            </w:r>
          </w:p>
        </w:tc>
        <w:tc>
          <w:tcPr>
            <w:tcW w:type="dxa" w:w="26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N</w:t>
            </w: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  <w:vertAlign w:val="subscript"/>
              </w:rPr>
              <w:t xml:space="preserve">11</w:t>
            </w: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=0.3860, ρ=1.0132</w:t>
            </w:r>
          </w:p>
        </w:tc>
        <w:tc>
          <w:tcPr>
            <w:tcW w:type="dxa" w:w="10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成对退化 5-正则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λc=1/3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0.3333333333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2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Anchor B：θ=2 通道</w:t>
            </w:r>
          </w:p>
        </w:tc>
        <w:tc>
          <w:tcPr>
            <w:tcW w:type="dxa" w:w="25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阈值不变</w:t>
            </w:r>
          </w:p>
        </w:tc>
        <w:tc>
          <w:tcPr>
            <w:tcW w:type="dxa" w:w="26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C=0，精确出列</w:t>
            </w:r>
          </w:p>
        </w:tc>
        <w:tc>
          <w:tcPr>
            <w:tcW w:type="dxa" w:w="10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求和规则 / 恒等式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≈ 0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残差 10</w:t>
            </w: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  <w:vertAlign w:val="superscript"/>
              </w:rPr>
              <w:t xml:space="preserve">−17</w:t>
            </w: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 / 10</w:t>
            </w: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  <w:vertAlign w:val="superscript"/>
              </w:rPr>
              <w:t xml:space="preserve">−12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26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无病态 Jacobian 谱横标</w:t>
            </w:r>
          </w:p>
        </w:tc>
        <w:tc>
          <w:tcPr>
            <w:tcW w:type="dxa" w:w="25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0 at λc</w:t>
            </w:r>
          </w:p>
        </w:tc>
        <w:tc>
          <w:tcPr>
            <w:tcW w:type="dxa" w:w="26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0（机器精度）</w:t>
            </w:r>
          </w:p>
        </w:tc>
        <w:tc>
          <w:tcPr>
            <w:tcW w:type="dxa" w:w="10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01E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60" w:before="120" w:line="288"/>
      </w:pPr>
      <w:r>
        <w:rPr>
          <w:rFonts w:ascii="Microsoft YaHei" w:cs="Microsoft YaHei" w:eastAsia="Microsoft YaHei" w:hAnsi="Microsoft YaHei"/>
          <w:b/>
          <w:bCs/>
          <w:color w:val="1C5C54"/>
          <w:sz w:val="19"/>
          <w:szCs w:val="19"/>
        </w:rPr>
        <w:t xml:space="preserve">表 B　独立交叉验证</w:t>
      </w:r>
    </w:p>
    <w:tbl>
      <w:tblPr>
        <w:tblW w:type="dxa" w:w="9360"/>
        <w:tblBorders>
          <w:top w:val="single" w:color="B9C6C3" w:sz="4"/>
          <w:left w:val="none"/>
          <w:bottom w:val="single" w:color="B9C6C3" w:sz="4"/>
          <w:right w:val="none"/>
          <w:insideH w:val="single" w:color="E2E2DC" w:sz="2"/>
          <w:insideV w:val="none"/>
        </w:tblBorders>
      </w:tblPr>
      <w:tblGrid>
        <w:gridCol w:w="2900"/>
        <w:gridCol w:w="3050"/>
        <w:gridCol w:w="3410"/>
      </w:tblGrid>
      <w:tr>
        <w:trPr>
          <w:cantSplit/>
          <w:tblHeader/>
        </w:trPr>
        <w:tc>
          <w:tcPr>
            <w:tcW w:type="dxa" w:w="2900"/>
            <w:shd w:fill="E1EE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C5C54"/>
                <w:sz w:val="18"/>
                <w:szCs w:val="18"/>
              </w:rPr>
              <w:t xml:space="preserve">检验</w:t>
            </w:r>
          </w:p>
        </w:tc>
        <w:tc>
          <w:tcPr>
            <w:tcW w:type="dxa" w:w="3050"/>
            <w:shd w:fill="E1EE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C5C54"/>
                <w:sz w:val="18"/>
                <w:szCs w:val="18"/>
              </w:rPr>
              <w:t xml:space="preserve">方法</w:t>
            </w:r>
          </w:p>
        </w:tc>
        <w:tc>
          <w:tcPr>
            <w:tcW w:type="dxa" w:w="3410"/>
            <w:shd w:fill="E1EE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C5C54"/>
                <w:sz w:val="18"/>
                <w:szCs w:val="18"/>
              </w:rPr>
              <w:t xml:space="preserve">结果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闭合终态 = 分支公式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χ_ODE vs 1+1ᵀ(I−Nᵀ)⁻¹g</w:t>
            </w:r>
          </w:p>
        </w:tc>
        <w:tc>
          <w:tcPr>
            <w:tcW w:type="dxa" w:w="3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≤1.0×10</w:t>
            </w: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  <w:vertAlign w:val="superscript"/>
              </w:rPr>
              <w:t xml:space="preserve">−3</w:t>
            </w: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；ε→0 收敛到 1.1×10</w:t>
            </w: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  <w:vertAlign w:val="superscript"/>
              </w:rPr>
              <w:t xml:space="preserve">−5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级联 C 独立复核</w:t>
            </w:r>
          </w:p>
        </w:tc>
        <w:tc>
          <w:tcPr>
            <w:tcW w:type="dxa" w:w="305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单群体 Gillespie，10⁶ 抽样</w:t>
            </w:r>
          </w:p>
        </w:tc>
        <w:tc>
          <w:tcPr>
            <w:tcW w:type="dxa" w:w="341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≤1σ 吻合（含 m=2 解析、θ≥2）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终态 t_max 收敛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t_max ∈ [2×10⁴, 1.2×10⁵]</w:t>
            </w:r>
          </w:p>
        </w:tc>
        <w:tc>
          <w:tcPr>
            <w:tcW w:type="dxa" w:w="3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χ 不变；残余激活质量 ≤10</w:t>
            </w: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  <w:vertAlign w:val="superscript"/>
              </w:rPr>
              <w:t xml:space="preserve">−20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ρ(λ) 单调 / 过阈</w:t>
            </w:r>
          </w:p>
        </w:tc>
        <w:tc>
          <w:tcPr>
            <w:tcW w:type="dxa" w:w="305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扫描 + ε=0.02</w:t>
            </w:r>
          </w:p>
        </w:tc>
        <w:tc>
          <w:tcPr>
            <w:tcW w:type="dxa" w:w="3410"/>
            <w:shd w:fill="F6F5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YaHei" w:cs="Microsoft YaHei" w:eastAsia="Microsoft YaHei" w:hAnsi="Microsoft YaHei"/>
                <w:color w:val="20201E"/>
                <w:sz w:val="18"/>
                <w:szCs w:val="18"/>
              </w:rPr>
              <w:t xml:space="preserve">严格递增；亚临界 O(ε)，超临界 O(1)</w:t>
            </w:r>
          </w:p>
        </w:tc>
      </w:tr>
    </w:tbl>
    <w:p>
      <w:pPr>
        <w:pBdr>
          <w:bottom w:val="single" w:color="D8D8D2" w:sz="6"/>
        </w:pBdr>
        <w:spacing w:after="130" w:before="40"/>
      </w:pPr>
    </w:p>
    <w:p>
      <w:pPr>
        <w:spacing w:after="0" w:before="0" w:line="288"/>
      </w:pPr>
      <w:r>
        <w:rPr>
          <w:rFonts w:ascii="Microsoft YaHei" w:cs="Microsoft YaHei" w:eastAsia="Microsoft YaHei" w:hAnsi="Microsoft YaHei"/>
          <w:b/>
          <w:bCs/>
          <w:color w:val="1C5C54"/>
        </w:rPr>
        <w:t xml:space="preserve">结论：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由亚临界终态外推得到的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bscript"/>
        </w:rPr>
        <w:t xml:space="preserve">c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ρ(N)=1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 在八组构型上一致到 </w:t>
      </w:r>
      <w:r>
        <w:rPr>
          <w:rFonts w:ascii="Cambria Math" w:cs="Cambria Math" w:eastAsia="Cambria Math" w:hAnsi="Cambria Math"/>
          <w:color w:val="20201E"/>
          <w:sz w:val="21"/>
          <w:szCs w:val="21"/>
        </w:rPr>
        <w:t xml:space="preserve">6×10</w:t>
      </w:r>
      <w:r>
        <w:rPr>
          <w:rFonts w:ascii="Cambria Math" w:cs="Cambria Math" w:eastAsia="Cambria Math" w:hAnsi="Cambria Math"/>
          <w:color w:val="20201E"/>
          <w:sz w:val="21"/>
          <w:szCs w:val="21"/>
          <w:vertAlign w:val="superscript"/>
        </w:rPr>
        <w:t xml:space="preserve">−4</w:t>
      </w:r>
      <w:r>
        <w:rPr>
          <w:rFonts w:ascii="Microsoft YaHei" w:cs="Microsoft YaHei" w:eastAsia="Microsoft YaHei" w:hAnsi="Microsoft YaHei"/>
          <w:color w:val="20201E"/>
          <w:sz w:val="21"/>
          <w:szCs w:val="21"/>
        </w:rPr>
        <w:t xml:space="preserve">、全部 ≤1.5σ；这是对爆发阈值的一次全非线性、独立确认，与数值 Jacobian 复核（只检验线性化谱）互补。</w:t>
      </w:r>
    </w:p>
    <w:sectPr>
      <w:pgSz w:w="11906" w:h="16838" w:orient="portrait"/>
      <w:pgMar w:top="1150" w:right="1200" w:bottom="11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01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0a0acb9e23aa5c1c48bb1d88c60f5ecccb0ed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2026-08-16T15:18:51.935Z</dcterms:created>
  <dcterms:modified xsi:type="dcterms:W3CDTF">2026-08-16T15:18:51.936Z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