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 w:before="300"/>
        <w:ind w:firstLine="0"/>
      </w:pPr>
      <w:r>
        <w:rPr>
          <w:rFonts w:ascii="SimHei" w:cs="SimHei" w:eastAsia="SimHei" w:hAnsi="SimHei"/>
          <w:b/>
          <w:bCs/>
          <w:color w:val="000000"/>
          <w:sz w:val="26"/>
          <w:szCs w:val="26"/>
        </w:rPr>
        <w:t xml:space="preserve">3. 群体闭合相对度均场的偏差</w:t>
      </w:r>
    </w:p>
    <w:p>
      <w:pPr>
        <w:spacing w:after="120" w:before="250"/>
        <w:ind w:firstLine="0"/>
      </w:pPr>
      <w:r>
        <w:rPr>
          <w:rFonts w:ascii="SimHei" w:cs="SimHei" w:eastAsia="SimHei" w:hAnsi="SimHei"/>
          <w:b/>
          <w:bCs/>
          <w:color w:val="000000"/>
          <w:sz w:val="22"/>
          <w:szCs w:val="22"/>
        </w:rPr>
        <w:t xml:space="preserve">3.1. 度均场闭合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上一节的阈值由群体层面的分支过程给出。为界定该闭合究竟改进了什么，本节把它与同一模型的</w:t>
      </w: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度均场闭合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逐项对照。度均场不追踪群体内部的计数，而把群体的激活概率取为系综平均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Θ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=1−(1−φ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)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ma−1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，其中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φ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=Σ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k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k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P(k)i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k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/⟨k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(a)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⟩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为层 a 的成员槽被感染节点占据的比例，于是</w:t>
      </w:r>
    </w:p>
    <w:p>
      <w:pPr>
        <w:tabs>
          <w:tab w:val="center" w:pos="4500"/>
          <w:tab w:val="right" w:pos="9000"/>
        </w:tabs>
        <w:spacing w:after="130" w:before="90" w:line="288"/>
      </w:pP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ṡ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k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 = −s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k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Σ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k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β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Θ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,    i̇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k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 = s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k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Σ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k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β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Θ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 − μ i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k</w:t>
      </w: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(3.1)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在无病定态附近线性化，其增长模式由矩阵</w:t>
      </w:r>
    </w:p>
    <w:p>
      <w:pPr>
        <w:tabs>
          <w:tab w:val="center" w:pos="4500"/>
          <w:tab w:val="right" w:pos="9000"/>
        </w:tabs>
        <w:spacing w:after="130" w:before="90" w:line="288"/>
      </w:pP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N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MF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ab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 = (m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b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−1)·λ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b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·⟨k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(a)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k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(b)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⟩/⟨k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(a)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⟩</w:t>
      </w: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(3.2)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的谱半径决定，阈值同样由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ρ(N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MF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)=1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给出。(3.2) 与 (3.1) 是同一件事的两种写法：把 (3.1) 在无病定态作数值 Jacobian，其谱横标在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ρ(N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MF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)=1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所给的阈值处为零，残差约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10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−11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。</w:t>
      </w:r>
    </w:p>
    <w:p>
      <w:pPr>
        <w:spacing w:after="120" w:before="250"/>
        <w:ind w:firstLine="0"/>
      </w:pPr>
      <w:r>
        <w:rPr>
          <w:rFonts w:ascii="SimHei" w:cs="SimHei" w:eastAsia="SimHei" w:hAnsi="SimHei"/>
          <w:b/>
          <w:bCs/>
          <w:color w:val="000000"/>
          <w:sz w:val="22"/>
          <w:szCs w:val="22"/>
        </w:rPr>
        <w:t xml:space="preserve">3.2. 三处偏差及其分解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把 (3.2) 与上一节的精确次代矩阵逐元相除，差别恰为三处，且</w:t>
      </w: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方向并不一致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。其一，均场以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b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取代传递概率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T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b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b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/(1+λ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b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，即把整个感染期的传递概率当作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β/μ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，忽略了</w:t>
      </w:r>
      <w:r>
        <w:rPr>
          <w:rFonts w:ascii="SimSun" w:cs="SimSun" w:eastAsia="SimSun" w:hAnsi="SimSun"/>
          <w:i/>
          <w:iCs/>
          <w:color w:val="000000"/>
          <w:sz w:val="21"/>
          <w:szCs w:val="21"/>
        </w:rPr>
        <w:t xml:space="preserve">群体一旦向某成员传递即对其用尽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；其二，均场缺少余度相减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−δ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ab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，即允许感染沿来路群体折返。这两项都使均场</w:t>
      </w: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高估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再生数。其三，均场以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(m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b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−1)T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b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取代级联规模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C(m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b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,λ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b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,θ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b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：线性化时各成员的贡献被独立相加，看不见群内感染对激活时长的延长，这一项使均场</w:t>
      </w: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低估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再生数。</w:t>
      </w:r>
    </w:p>
    <w:p>
      <w:pPr>
        <w:spacing w:after="120" w:before="0" w:line="300"/>
        <w:ind w:firstLine="42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三者可以写成三个独立的开关。以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X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ab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=⟨k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(a)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k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(b)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⟩/⟨k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(a)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⟩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记度比，令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s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T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,s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D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,s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∈{0,1}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，则</w:t>
      </w:r>
    </w:p>
    <w:p>
      <w:pPr>
        <w:tabs>
          <w:tab w:val="center" w:pos="4500"/>
          <w:tab w:val="right" w:pos="9000"/>
        </w:tabs>
        <w:spacing w:after="130" w:before="90" w:line="288"/>
      </w:pP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N(s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T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,s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D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,s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)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ab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 = (m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b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−1)λ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b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·f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T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sT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·f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sC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·[X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ab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 − s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D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δ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ab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]</w:t>
      </w: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(3.3)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其中两个标量因子为</w:t>
      </w:r>
    </w:p>
    <w:p>
      <w:pPr>
        <w:tabs>
          <w:tab w:val="center" w:pos="4500"/>
          <w:tab w:val="right" w:pos="9000"/>
        </w:tabs>
        <w:spacing w:after="130" w:before="90" w:line="288"/>
      </w:pP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f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T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 = T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b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/λ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b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 = 1/(1+λ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b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) &lt; 1,    f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 = C(m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b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,λ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b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,θ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b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)/[(m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b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−1)T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b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] &gt; 1</w:t>
      </w: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(3.4)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于是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(0,0,0)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恰为均场 (3.2)，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(1,1,1)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恰为精确矩阵，二者在数值上分别与各自的独立实现相符至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10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−9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。余度相减不是逐层的标量，其作用须在谱半径上定义：记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f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D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=ρ(X−δ)/ρ(X)&lt;1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，则三项对谱半径的净效应恰为三个因子之积</w:t>
      </w:r>
    </w:p>
    <w:p>
      <w:pPr>
        <w:tabs>
          <w:tab w:val="center" w:pos="4500"/>
          <w:tab w:val="right" w:pos="9000"/>
        </w:tabs>
        <w:spacing w:after="130" w:before="90" w:line="288"/>
      </w:pP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ρ/ρ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MF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 = f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T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·f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D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·f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(3.5)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该乘积关系已逐点验证（相对差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&lt;10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−10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）。(3.5) 小于 1 时均场高估 ρ，大于 1 时低估。</w:t>
      </w:r>
    </w:p>
    <w:p>
      <w:pPr>
        <w:spacing w:after="120" w:before="250"/>
        <w:ind w:firstLine="0"/>
      </w:pPr>
      <w:r>
        <w:rPr>
          <w:rFonts w:ascii="SimHei" w:cs="SimHei" w:eastAsia="SimHei" w:hAnsi="SimHei"/>
          <w:b/>
          <w:bCs/>
          <w:color w:val="000000"/>
          <w:sz w:val="22"/>
          <w:szCs w:val="22"/>
        </w:rPr>
        <w:t xml:space="preserve">3.3. 数值结果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以下取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P={(3,3),(5,5)}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（层度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k∈{3,5}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且两层完全相关）、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1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=m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2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=m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、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θ=1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。图 3(a) 给出三个因子随 λ 的竞争：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f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T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单调下降，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f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D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为常数 0.882，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f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先升后降；其乘积即净效应。逐项开关给出的阈值最能说明各项的分量：在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m=3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处，相对均场只开 T 使阈值升为 1.063 倍、只开 D 升为 1.133 倍、只开 C 反而降为 0.976 倍，三项全开为 1.177 倍。</w:t>
      </w: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余度相减是最大的单项，而级联与前两项反向。</w:t>
      </w:r>
    </w:p>
    <w:p>
      <w:pPr>
        <w:spacing w:after="120" w:before="0" w:line="300"/>
        <w:ind w:firstLine="420"/>
        <w:jc w:val="both"/>
      </w:pP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阈值后果。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三项净效应作用于阈值，得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MF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/λ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在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m=2,3,4,6,8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处依次为 0.765、0.849、0.879、0.903 与 0.913，并随 m 单调升至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m=16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处的 0.927（图 3c）。</w:t>
      </w: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均场始终低估阈值，差距随 m 缩小而不变号。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在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m=2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处该比值退化为一条解析恒等式：级联消失（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f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），而两侧各自以自身的传递概率解出阈值，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f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T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因而相消，只余</w:t>
      </w:r>
    </w:p>
    <w:p>
      <w:pPr>
        <w:tabs>
          <w:tab w:val="center" w:pos="4500"/>
          <w:tab w:val="right" w:pos="9000"/>
        </w:tabs>
        <w:spacing w:after="130" w:before="90" w:line="288"/>
      </w:pP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MF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/λ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 = (X−1)/X</w:t>
      </w:r>
      <w:r>
        <w:t xml:space="preserve">	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(3.6)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其中 X 为诸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X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ab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的公共值。3-正则、本构型与 10-正则分别给出 2/3、13/17 与 9/10，数值验证一致至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10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−9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；两层独立时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X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aa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≠X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ab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，(3.6) 相应地不成立。</w:t>
      </w:r>
    </w:p>
    <w:p>
      <w:pPr>
        <w:spacing w:after="120" w:before="0" w:line="300"/>
        <w:ind w:firstLine="420"/>
        <w:jc w:val="both"/>
      </w:pP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净偏差变号。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阈值处的图像并不能推广到整个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(m,λ)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平面。图 3(b) 给出净偏差在该平面上的符号与量级：绝大部分区域为暖色，即均场高估 ρ；但在</w:t>
      </w: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大群体、中等 λ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的一片区域内 (3.5) 越过 1，级联项压过前两项，</w:t>
      </w: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均场转为低估 ρ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。对本构型，变号自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m=8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起出现，窗口为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λ∈[0.086,0.394]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，并随 m 加宽，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m=16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处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ρ/ρ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MF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最大达 1.58。变号的</w:t>
      </w:r>
      <w:r>
        <w:rPr>
          <w:rFonts w:ascii="SimSun" w:cs="SimSun" w:eastAsia="SimSun" w:hAnsi="SimSun"/>
          <w:i/>
          <w:iCs/>
          <w:color w:val="000000"/>
          <w:sz w:val="21"/>
          <w:szCs w:val="21"/>
        </w:rPr>
        <w:t xml:space="preserve">起点依赖于度分布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——它由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f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D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=(X−1)/X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定标，度越异质则越早变号：在六组分布上起点跨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m=6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至 9（10-正则与重尾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k∈{2,20}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为 6，3-正则与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k∈{1,3}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为 9）——但变号的</w:t>
      </w:r>
      <w:r>
        <w:rPr>
          <w:rFonts w:ascii="SimSun" w:cs="SimSun" w:eastAsia="SimSun" w:hAnsi="SimSun"/>
          <w:i/>
          <w:iCs/>
          <w:color w:val="000000"/>
          <w:sz w:val="21"/>
          <w:szCs w:val="21"/>
        </w:rPr>
        <w:t xml:space="preserve">存在性并不依赖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：六组分布无一例外。</w:t>
      </w:r>
    </w:p>
    <w:p>
      <w:pPr>
        <w:spacing w:after="120" w:before="0" w:line="300"/>
        <w:ind w:firstLine="420"/>
        <w:jc w:val="both"/>
      </w:pP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变号区恒为超临界。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变号区与阈值之间存在一条结构性的分隔：变号窗口的下沿始终位于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之上。该比值随 m 单调下降——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m=8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处约 4.7 倍、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m=16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处约 2.6 倍、至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m=50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仍有约 2.1 倍——但在测试范围内从未接近 1，图 3b 中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虚线因而始终位于变号区之外。这解释了上一段两个陈述何以并存：</w:t>
      </w: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再生数的偏差会变号，阈值的偏差不会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——阈值处 λ 太小，级联因子尚未长大。二者是两个不同的命题，不可互推。</w:t>
      </w:r>
    </w:p>
    <w:p>
      <w:pPr>
        <w:spacing w:after="70" w:before="160"/>
        <w:ind w:firstLine="0"/>
        <w:jc w:val="center"/>
      </w:pPr>
      <w:r>
        <w:drawing>
          <wp:inline distT="0" distB="0" distL="0" distR="0">
            <wp:extent cx="4457700" cy="3352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64"/>
        <w:ind w:firstLine="0"/>
        <w:jc w:val="both"/>
      </w:pPr>
      <w:r>
        <w:rPr>
          <w:rFonts w:ascii="SimSun" w:cs="SimSun" w:eastAsia="SimSun" w:hAnsi="SimSun"/>
          <w:b/>
          <w:bCs/>
          <w:color w:val="000000"/>
          <w:sz w:val="18"/>
          <w:szCs w:val="18"/>
        </w:rPr>
        <w:t xml:space="preserve">图 3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　逐项关闭度均场的三处偏差。(a) 三个因子随 λ 的竞争（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m=10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）：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f</w:t>
      </w:r>
      <w:r>
        <w:rPr>
          <w:rFonts w:ascii="Cambria Math" w:cs="Cambria Math" w:eastAsia="Cambria Math" w:hAnsi="Cambria Math"/>
          <w:color w:val="000000"/>
          <w:sz w:val="18"/>
          <w:szCs w:val="18"/>
          <w:vertAlign w:val="subscript"/>
        </w:rPr>
        <w:t xml:space="preserve">C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 为级联（使均场低估），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f</w:t>
      </w:r>
      <w:r>
        <w:rPr>
          <w:rFonts w:ascii="Cambria Math" w:cs="Cambria Math" w:eastAsia="Cambria Math" w:hAnsi="Cambria Math"/>
          <w:color w:val="000000"/>
          <w:sz w:val="18"/>
          <w:szCs w:val="18"/>
          <w:vertAlign w:val="subscript"/>
        </w:rPr>
        <w:t xml:space="preserve">D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 为余度相减、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f</w:t>
      </w:r>
      <w:r>
        <w:rPr>
          <w:rFonts w:ascii="Cambria Math" w:cs="Cambria Math" w:eastAsia="Cambria Math" w:hAnsi="Cambria Math"/>
          <w:color w:val="000000"/>
          <w:sz w:val="18"/>
          <w:szCs w:val="18"/>
          <w:vertAlign w:val="subscript"/>
        </w:rPr>
        <w:t xml:space="preserve">T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 为传递概率（二者使均场高估），黑线为三者之积；阴影标出乘积超过 1 的区间。(b) 净偏差在 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(m,λ)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 平面上的符号与量级，色标为 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log</w:t>
      </w:r>
      <w:r>
        <w:rPr>
          <w:rFonts w:ascii="Cambria Math" w:cs="Cambria Math" w:eastAsia="Cambria Math" w:hAnsi="Cambria Math"/>
          <w:color w:val="000000"/>
          <w:sz w:val="18"/>
          <w:szCs w:val="18"/>
          <w:vertAlign w:val="subscript"/>
        </w:rPr>
        <w:t xml:space="preserve">2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(ρ</w:t>
      </w:r>
      <w:r>
        <w:rPr>
          <w:rFonts w:ascii="Cambria Math" w:cs="Cambria Math" w:eastAsia="Cambria Math" w:hAnsi="Cambria Math"/>
          <w:color w:val="000000"/>
          <w:sz w:val="18"/>
          <w:szCs w:val="18"/>
          <w:vertAlign w:val="superscript"/>
        </w:rPr>
        <w:t xml:space="preserve">MF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/ρ)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，黄带（黑实线）为变号边界，冷色为均场低估、暖色为高估；黑虚线为阈值 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λ</w:t>
      </w:r>
      <w:r>
        <w:rPr>
          <w:rFonts w:ascii="Cambria Math" w:cs="Cambria Math" w:eastAsia="Cambria Math" w:hAnsi="Cambria Math"/>
          <w:color w:val="000000"/>
          <w:sz w:val="18"/>
          <w:szCs w:val="18"/>
          <w:vertAlign w:val="subscript"/>
        </w:rPr>
        <w:t xml:space="preserve">c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，始终落在变号区之外。(c) 阈值后果 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λ</w:t>
      </w:r>
      <w:r>
        <w:rPr>
          <w:rFonts w:ascii="Cambria Math" w:cs="Cambria Math" w:eastAsia="Cambria Math" w:hAnsi="Cambria Math"/>
          <w:color w:val="000000"/>
          <w:sz w:val="18"/>
          <w:szCs w:val="18"/>
          <w:vertAlign w:val="subscript"/>
        </w:rPr>
        <w:t xml:space="preserve">c</w:t>
      </w:r>
      <w:r>
        <w:rPr>
          <w:rFonts w:ascii="Cambria Math" w:cs="Cambria Math" w:eastAsia="Cambria Math" w:hAnsi="Cambria Math"/>
          <w:color w:val="000000"/>
          <w:sz w:val="18"/>
          <w:szCs w:val="18"/>
          <w:vertAlign w:val="superscript"/>
        </w:rPr>
        <w:t xml:space="preserve">MF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/λ</w:t>
      </w:r>
      <w:r>
        <w:rPr>
          <w:rFonts w:ascii="Cambria Math" w:cs="Cambria Math" w:eastAsia="Cambria Math" w:hAnsi="Cambria Math"/>
          <w:color w:val="000000"/>
          <w:sz w:val="18"/>
          <w:szCs w:val="18"/>
          <w:vertAlign w:val="subscript"/>
        </w:rPr>
        <w:t xml:space="preserve">c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 随 m 的变化，恒小于 1。(d) 精确仿真校验：点为多重超图上的 Gillespie 抽样（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N=4×10</w:t>
      </w:r>
      <w:r>
        <w:rPr>
          <w:rFonts w:ascii="Cambria Math" w:cs="Cambria Math" w:eastAsia="Cambria Math" w:hAnsi="Cambria Math"/>
          <w:color w:val="000000"/>
          <w:sz w:val="18"/>
          <w:szCs w:val="18"/>
          <w:vertAlign w:val="superscript"/>
        </w:rPr>
        <w:t xml:space="preserve">4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），与精确理论一致至 </w:t>
      </w:r>
      <w:r>
        <w:rPr>
          <w:rFonts w:ascii="Cambria Math" w:cs="Cambria Math" w:eastAsia="Cambria Math" w:hAnsi="Cambria Math"/>
          <w:color w:val="000000"/>
          <w:sz w:val="18"/>
          <w:szCs w:val="18"/>
        </w:rPr>
        <w:t xml:space="preserve">1.3σ</w:t>
      </w:r>
      <w:r>
        <w:rPr>
          <w:rFonts w:ascii="SimSun" w:cs="SimSun" w:eastAsia="SimSun" w:hAnsi="SimSun"/>
          <w:color w:val="000000"/>
          <w:sz w:val="18"/>
          <w:szCs w:val="18"/>
        </w:rPr>
        <w:t xml:space="preserve">，而均场被排除 3.5σ 至 42.7σ。</w:t>
      </w:r>
    </w:p>
    <w:p>
      <w:pPr>
        <w:spacing w:after="120" w:before="250"/>
        <w:ind w:firstLine="0"/>
      </w:pPr>
      <w:r>
        <w:rPr>
          <w:rFonts w:ascii="SimHei" w:cs="SimHei" w:eastAsia="SimHei" w:hAnsi="SimHei"/>
          <w:b/>
          <w:bCs/>
          <w:color w:val="000000"/>
          <w:sz w:val="22"/>
          <w:szCs w:val="22"/>
        </w:rPr>
        <w:t xml:space="preserve">3.4. 数值校验</w:t>
      </w:r>
    </w:p>
    <w:p>
      <w:pPr>
        <w:spacing w:after="120" w:before="0" w:line="300"/>
        <w:ind w:firstLine="0"/>
        <w:jc w:val="both"/>
      </w:pPr>
      <w:r>
        <w:rPr>
          <w:rFonts w:ascii="SimSun" w:cs="SimSun" w:eastAsia="SimSun" w:hAnsi="SimSun"/>
          <w:color w:val="000000"/>
          <w:sz w:val="21"/>
          <w:szCs w:val="21"/>
        </w:rPr>
        <w:t xml:space="preserve">本节的结论依赖于两件事：均场侧的实现无误，以及精确侧确实是真值。二者分别校验如下。脚本见 verify_mf.py 与 verify_sim.py。</w:t>
      </w:r>
    </w:p>
    <w:p>
      <w:pPr>
        <w:spacing w:after="120" w:before="0" w:line="300"/>
        <w:ind w:firstLine="420"/>
        <w:jc w:val="both"/>
      </w:pP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均场侧的内部一致。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(3.2) 的矩阵与 (3.1) 的 ODE 是两条独立实现，其阈值一致：在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ρ(N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MF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)=1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处 ODE 的无病态 Jacobian 谱横标为零，残差约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10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−11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（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m=2,3,4,6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）。此处曾有一处数值陷阱：以前向差分构造该 Jacobian 会引入随 m 增大的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O(d)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截断误差（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Θ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的曲率含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(m−1)(m−2)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），在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m=6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处即达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10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−7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，恰与被检验的量同量级；改用中心差分后降至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10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−11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。此外还独立积分了 (3.1)：在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0.85λ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MF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与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1.15λ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MF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两侧分别给出亚临界与超临界行为，闭合了线性化与动力学之间的回路。</w:t>
      </w:r>
    </w:p>
    <w:p>
      <w:pPr>
        <w:spacing w:after="120" w:before="0" w:line="300"/>
        <w:ind w:firstLine="420"/>
        <w:jc w:val="both"/>
      </w:pP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精确侧的真值。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图 3 本身是两个闭合之间的比较，故其结论须有闭合以外的真值支撑。为此在位形模型多重超图上作精确的连续时间 Gillespie 仿真（含真实回路与有限 N，不用任何闭合）。取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N=4×10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4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、3000 次播种（分摊于 3 张独立实现），在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λ=0.6λ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与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0.8λ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bscript"/>
        </w:rPr>
        <w:t xml:space="preserve">c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、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m=3,5,8,12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共八个点上，仿真的平均簇规模与精确理论一致至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1.3σ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，而均场的预言被排除 3.5σ 至 42.7σ（图 3d）。这同时检验了 T、余度相减与级联三项。（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N=1.2×10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4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时其中一点偏离 3.1σ，增大 N 后降至 0.4σ，确认为有限尺寸效应。）</w:t>
      </w:r>
    </w:p>
    <w:p>
      <w:pPr>
        <w:spacing w:after="120" w:before="0" w:line="300"/>
        <w:ind w:firstLine="420"/>
        <w:jc w:val="both"/>
      </w:pP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变号区内的级联。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由于变号区恒为超临界，它无法由亚临界簇规模直接测量。作为替代，驱动变号的级联量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C(m,λ)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在</w:t>
      </w: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变号区自身的参数上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由单群体直接 Gillespie 抽样复核：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(m,λ)=(8,0.15)、(8,0.30)、(10,0.20)、(12,0.30)、(16,0.15)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（这些点的 (3.5) 均大于 1），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2×10</w:t>
      </w:r>
      <w:r>
        <w:rPr>
          <w:rFonts w:ascii="Cambria Math" w:cs="Cambria Math" w:eastAsia="Cambria Math" w:hAnsi="Cambria Math"/>
          <w:color w:val="000000"/>
          <w:sz w:val="21"/>
          <w:szCs w:val="21"/>
          <w:vertAlign w:val="superscript"/>
        </w:rPr>
        <w:t xml:space="preserve">5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 次实现下与递推一致至 </w:t>
      </w:r>
      <w:r>
        <w:rPr>
          <w:rFonts w:ascii="Cambria Math" w:cs="Cambria Math" w:eastAsia="Cambria Math" w:hAnsi="Cambria Math"/>
          <w:color w:val="000000"/>
          <w:sz w:val="21"/>
          <w:szCs w:val="21"/>
        </w:rPr>
        <w:t xml:space="preserve">1.1σ</w:t>
      </w:r>
      <w:r>
        <w:rPr>
          <w:rFonts w:ascii="SimSun" w:cs="SimSun" w:eastAsia="SimSun" w:hAnsi="SimSun"/>
          <w:color w:val="000000"/>
          <w:sz w:val="21"/>
          <w:szCs w:val="21"/>
        </w:rPr>
        <w:t xml:space="preserve">。变号所依赖的每一个成分因而都已独立验证；变号本身则是该已验证矩阵在超临界区的预言。</w:t>
      </w:r>
    </w:p>
    <w:sectPr>
      <w:pgSz w:w="11906" w:h="16838" w:orient="portrait"/>
      <w:pgMar w:top="1400" w:right="1440" w:bottom="14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b0cd3a043185ff1875552a9b76732e5c3cdf63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2026-08-16T15:21:55.281Z</dcterms:created>
  <dcterms:modified xsi:type="dcterms:W3CDTF">2026-08-16T15:21:55.281Z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