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传播的理论已沿两条彼此独立的路径发展成熟。终态一侧由渗流承担：任意度分布随机图的连通结构可由生成函数方法解析给出 [1]，而键渗流映射把最终感染规模化归为占据概率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下的巨簇规模 [2]；这一思路可上溯至一般流行过程与动力学渗流的等价性 [3]。度分布异质性的作用由此可直接读出：临界占据概率为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，二阶矩发散时阈值趋于零；无标度网络上的 SIS 模型给出过同一结论 [4]。Kenah 与 Robins 随后指出，SIR 与键渗流之间并非严格同构：与之精确同构的是一个半有向的"流行渗流网络"，其中爆发规模分布对应出分支、阈值对应巨强连通分支的出现、终态规模对应巨出分支 [5]。值得注意的是，方向性由此已经内在地进入了 SIR 的渗流表述，尽管接触网络本身是无向的。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用成对近似给出随机网络上 SIR 的低维闭合 [6]，Miller 等将其整理为边基房室模型（EBCM），以"沿一条边尚未传来感染"的概率为核心变量，用少数常微分方程同时容纳异质接触率与伙伴关系的有限持续时间 [7]。传染与康复过程的分布形式并非细节：偏离马尔可夫假设会显著改变流行阈值 [8]。两条路径分工明确——渗流给出阈值与终态，方程给出峰值与时间演化——并可相互印证 [9]。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方向性作为接触网络本身的属性也早已被处理，且入出度相关从一开始就是其中的关键量。有向随机图各巨分支的规模由入出度联合分布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决定；当该分布不可分解——即入度与出度相关时——巨强连通分支的规模会偏离巨入分支与巨出分支规模之积 [10]。在任意两点度相关与双向边同时存在的一般情形下，有向渗流的阈值与各巨分支规模已可解析求出 [11]，这套机制并已直接用于有向接触网络上的流行预测 [12]。入出度相关对动力学的影响亦有直接证据：在有向网络上的阈值型传播中，正的入出度相关在较宽的平均入度范围内提高系统稳健性，负相关则相反 [13]。它与无向网络中的度—度同配性 [14] 并非同一件事——后者刻画相连节点之间度值的相似性，前者刻画同一节点两个方向的度值关系。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与此同时，传播研究的重心转向高阶交互——许多传染并非沿边逐个发生，而是在一个群体内集体发生 [15, 16]；这类高阶交互在真实数据中普遍存在 [17]。单纯复形上的高阶影响与强化机制可诱导不连续相变，并出现健康态与流行态共存的双稳区 [18]；超图上的社会传播已有适用于任意超图的解析框架，展现一阶与二阶相变、双稳与滞后 [19]；而把异质暴露与最小感染剂量结合，会导出一个普适的非线性感染核，并随之出现不连续相变与超指数增长 [20]——这与经典的阈值型复杂传播 [21, 22] 一脉相承。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结构对高阶传播的影响同样明确。链接度分布的异质性可抑制爆炸式相变 [23]；超核分解给出一种中心性，传播过程局域于中心超核 [24]；由超边之间共享节点数定义的高阶连通分支，其巨分支的存在是单一种子实现全局爆发的必要条件 [25]；哪些群体最适合作为种子也已被刻画 [26]。尤为关键的是超边之间的重叠：它决定转变是否为爆炸式，且作用方向与直觉相反——只有在阶内重叠较低时才出现爆炸性与双稳 [27]。重叠的组织方式可由一个超边重叠矩阵刻画，其对角元与非对角元分别对应阶内与阶间重叠 [28]，而阶间相关驱动系统沿不同路径走向爆炸式传播 [29]。超图上的渗流理论亦已建立 [30]，相关进展见综述 [31]。这些工作共享同一前提：超边是无向的，一条超边内的所有节点对称地相互施加影响。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然而现实中的高阶交互往往是有向的——施加影响的一方与接受影响的一方并不对称。有向超图正是为刻画这种不对称而设的形式化：每条超边分为施加影响的尾集与接受影响的头集（二者不相交），这一结构在算法与运筹领域已使用三十余年 [32]。代谢与化学反应把一组底物转化为一组产物，是其典型实例 [33]；比特币交易与引用数据亦已按有向超图分析 [34]。针对有向超图的结构测度近年迅速成型：真实数据的微观组织、高阶互惠性与 motif 已被系统刻画 [34, 35]；无向超图中超边重叠的测度与生成器已给出 [36]，位形模型与保度随机化亦有成熟实现 [37, 38]；而保入出度序列的均匀采样与非退化零模型在有向超图上也已可用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动力学一侧则由 Li 等开启。他们在有向超图上建立社会传播模型，发现不连续相变的双稳区间随有向强度减弱而收缩，表明方向性确实改变高阶传播的相变结构 [41]。该工作采用均场闭合，不涉及渗流，其方向性由单一标量强度参数调节。均场忽略邻域相关，误差在阈值邻域最大；在成对网络上，正是 EBCM 补上了这一层 [6, 7]。因此，对于有向超图上的传播阈值如何依赖于结构相关这一问题，目前既没有超出均场的含时理论，也没有可供解析扫描的渗流理论。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本文沿方程与渗流两条路径推进这一问题，并证明二者在同一极限下相合。方程一侧，我们提出有向超图 SIR 的并发型 EBCM 方程；其技术困难在于一个头节点同时承受多条超边、多个尾成员的并发压力，闭合变量不能简单相乘。我们给出闭合方案，在尾集基数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的可控情形下手推验证，并以精确 Gillespie 仿真 [42] 在阈值邻域校验，从而定量给出边基闭合相对均场的增益。渗流一侧，我们把成对网络上的 SIR–渗流映射及其半有向修正 [2, 5] 与有向渗流的生成函数机制 [10, 11] 推广到有向超图，得到爆发阈值随结构参数变化的半解析依赖。两条路径互不依赖，因而可互为验证；我们进一步证明二者的自洽方程在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极限下同构，给出同一阈值。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为使结构依赖可被受控地检验，我们给出有向超边重叠的可计算定义。对每一对有序超边构造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重叠列联矩阵，其四个通道分别对应共享节点在两条超边中同为尾成员、同为头成员、或一为头一为尾（两个方向各一个通道）。按阶聚合后得到一个张量，其阶对角块与非对角块分别对应已有的阶内与阶间重叠 [27, 28]；对任意一对超边，四个通道之和精确等于无向情形下的重叠，因此本文结果可与无向文献直接对照。互惠通道直接采用文献中的强互惠判据 [34]。两个结构参数在生成流程的不同环节起作用。入出度相关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是双度序列的函数，故在构造该序列的阶段设定（保持两条边际度序列不变，重新配置入度与出度在节点上的配对）；重叠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则在序列固定之后，由严格保持逐节点入出度的定向重排调节。二者因而可以独立扫描，互不牵动。零模型基线取自已有的均匀采样器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对称性破缺的分析给出两个与直觉相反的结果。其一，平均爆发规模是极差的序参量。设终态可表示为某个种子无关的随机结构上的可达性——逐对独立传播下这一表示严格成立——则可达有序对的总数在方向翻转下逐实现守恒，均匀单种子下的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因而对</w:t>
      </w:r>
      <w:r>
        <w:rPr>
          <w:rFonts w:ascii="Times New Roman" w:cs="Times New Roman" w:eastAsia="SimSun" w:hAnsi="Times New Roman"/>
          <w:b/>
          <w:bCs/>
        </w:rPr>
        <w:t xml:space="preserve">任意</w:t>
      </w:r>
      <w:r>
        <w:rPr>
          <w:rFonts w:ascii="Times New Roman" w:cs="Times New Roman" w:eastAsia="SimSun" w:hAnsi="Times New Roman"/>
        </w:rPr>
        <w:t xml:space="preserve">有向超图保持不变，无论其结构多么不对称。超边级激活使同一超边的各头成员共享一个激活区间，该表示随之失效：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在翻转下出现约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的残余不对称，但这比爆发概率的破缺幅度仍小二十余倍。破缺真正出现在这些可达对如何分配：大爆发的概率由巨入分支决定，爆发的终态规模由巨出分支决定，而翻转恰好交换二者 [5]。我们因而以爆发概率与条件爆发规模为序参量。二者若破缺则必反向，其组合须把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补偿至上述残余以内——这一补偿关系本身即是一项可证伪的预言。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其二，翻转奇是破缺的必要条件，却远非充分条件。本文所用结构量中翻转奇的来源只有两个：双度序列关于入/出分量互换的不对称性，以及共发重叠与共收重叠之差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。二者的实际作用截然不同：前者驱动的破缺在爆发概率上是数十个标准差的效应；而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样翻转奇，在同一协议下把它推到量程上限，效应始终不可分辨，我们只能给出上界。破缺因而由分支结构的不对称驱动，而非由重叠的极性驱动——宇称分类能划出候选集合，选出其中哪一个起作用则是动力学问题。作为阴性对照，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在翻转下是偶的（翻转互换每个节点的入度与出度，而相关系数对其两个变量对称），故单独调节它不可能产生破缺，尽管它确实移动阈值。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最后需说明一点。当群体阈值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时，激活规则不再是单条超边的独立事件，模型转而落入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型渗流，其相变结构不同于普通渗流——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的出现是混合型相变 [43]，bootstrap 渗流则可能同时存在一个连续阈值与一个更高的混合型阈值，且后者在二阶矩发散时消失 [44]；高阶渗流与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渗流之间的联系在多重超图上已被建立 [45]。本文对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节给出有向超图与 SIR 动力学的定义、有向超边重叠的可计算形式，以及结构量在方向翻转下的宇称分类。第 III 节推导并发型 EBCM 方程并给出仿真校验。第 IV 节建立 SIR 到有向超图渗流的映射与生成函数阈值理论。第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[14]。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的阶段进行，即在两条边际度序列固定的前提下重新配置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在节点上的配对。下一小节的重叠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恰好相反：它在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固定之后，才由超边的重排调节。两个结构参数因而作用在生成流程的不同环节，互不干扰——这一分离正是第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[21, 22]。两者的渗流对应物不同，将在第 IV 节分别处理。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[42]——这是第 III 节数值校验的基础。非指数康复期分布的推广见附录。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[44]，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[27, 28]；引入尾/头之分后，共享节点在两条超边中各自扮演的角色也成为信息。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[28]；本文只是在其每个矩阵元上再展开出四个方向通道。同质阶数下阶指标退化，以下略去并简记为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[34]：若存在一组超边，其尾集之并覆盖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[5]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</w:t>
      </w:r>
      <w:r>
        <w:rPr>
          <w:rFonts w:ascii="Times New Roman" w:cs="Times New Roman" w:eastAsia="SimSun" w:hAnsi="Times New Roman"/>
          <w:b/>
          <w:bCs/>
        </w:rPr>
        <w:t xml:space="preserve">逐实现精确</w:t>
      </w:r>
      <w:r>
        <w:rPr>
          <w:rFonts w:ascii="Times New Roman" w:cs="Times New Roman" w:eastAsia="SimSun" w:hAnsi="Times New Roman"/>
        </w:rPr>
        <w:t xml:space="preserve">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这一违背是真实的，不能当作可忽略的小量。第 VI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）。它并非仿真器对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处理不均所致。在互换对称的双度序列上，命题 1 直接禁止破缺，而同一协议只给出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，与零相容；即便保守地把这一数值当作仪器基线扣除，剩余部分仍有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）。该效应为超边级激活所特有，成对情形与线性核下均不出现。因此命题 2 对本文主线只是</w:t>
      </w:r>
      <w:r>
        <w:rPr>
          <w:rFonts w:ascii="Times New Roman" w:cs="Times New Roman" w:eastAsia="SimSun" w:hAnsi="Times New Roman"/>
          <w:b/>
          <w:bCs/>
        </w:rPr>
        <w:t xml:space="preserve">近似</w:t>
      </w:r>
      <w:r>
        <w:rPr>
          <w:rFonts w:ascii="Times New Roman" w:cs="Times New Roman" w:eastAsia="SimSun" w:hAnsi="Times New Roman"/>
        </w:rPr>
        <w:t xml:space="preserve">结论，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即便如此，命题 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是一个极差的破缺序参量</w:t>
      </w:r>
      <w:r>
        <w:rPr>
          <w:rFonts w:ascii="Times New Roman" w:cs="Times New Roman" w:eastAsia="SimSun" w:hAnsi="Times New Roman"/>
        </w:rPr>
        <w:t xml:space="preserve">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[5]，大爆发的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VI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在阈值邻域并不可忽略（自限爆发的规模下界为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，其贡献与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同量级），因此补偿关系须按上式逐项核算，不能简化为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与命题 2 都是关于系综平均的陈述。对单个实现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[6, 7]。移到有向超图上有两重并发需要处理：一个头节点同时暴露于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把概率移出"未传递"类，即一个</w:t>
      </w:r>
      <w:r>
        <w:rPr>
          <w:rFonts w:ascii="Times New Roman" w:cs="Times New Roman" w:eastAsia="SimSun" w:hAnsi="Times New Roman"/>
          <w:b/>
          <w:bCs/>
        </w:rPr>
        <w:t xml:space="preserve">带湮灭的 Markov 链</w:t>
      </w:r>
      <w:r>
        <w:rPr>
          <w:rFonts w:ascii="Times New Roman" w:cs="Times New Roman" w:eastAsia="SimSun" w:hAnsi="Times New Roman"/>
        </w:rPr>
        <w:t xml:space="preserve">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这正是成对 EBCM 的 </w:t>
      </w:r>
      <w:r>
        <w:rPr>
          <w:rFonts w:ascii="Cambria Math" w:eastAsia="SimSun" w:hAnsi="Cambria Math"/>
          <w:i w:val="false"/>
          <w:iCs w:val="false"/>
        </w:rPr>
        <w:t xml:space="preserve">(θ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三元组 [7]，唯一的替换是把余度生成函数换成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成立。(32)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中只有湮灭项的指示函数依赖于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；从头侧计数，新感染节点的出度按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(35) 等价。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(35)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[11, 12]。需要强调，令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的入超边之列。(35)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(35)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）。II.C 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在双度序列固定时仍可自由调节，因而</w:t>
      </w:r>
      <w:r>
        <w:rPr>
          <w:rFonts w:ascii="Times New Roman" w:cs="Times New Roman" w:eastAsia="SimSun" w:hAnsi="Times New Roman"/>
          <w:b/>
          <w:bCs/>
        </w:rPr>
        <w:t xml:space="preserve">在树状闭合内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λ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  <w:b/>
          <w:bCs/>
        </w:rPr>
        <w:t xml:space="preserve"> 与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的作用只体现在阈值以外的量上。无论哪一种结果，都是有内容的。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与 (35)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[6, 7]，本文把它推广到有向超图并给出闭式。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需要说明，(39) 是我们为本模型构造的均场对照，而非 [41]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校验分三层：闭合内部的自洽、闭合对精确仿真的复现、以及两条结构预言。全部脚本见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[42]，取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(32) 的残差以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(36)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上的相对差均不超过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 III.C 的否定性推论一致。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阈值公式 (35)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t</w:t>
            </w:r>
            <w:r>
              <w:rPr>
                <w:rFonts w:ascii="Cambria Math" w:eastAsia="SimSun" w:hAnsi="Cambria Math"/>
                <w:b/>
                <w:bCs/>
                <w:i w:val="false"/>
                <w:iCs w:val="false"/>
                <w:vertAlign w:val="subscript"/>
              </w:rPr>
              <w:t xml:space="preserve">max</w:t>
            </w:r>
          </w:p>
        </w:tc>
        <w:tc>
          <w:tcPr>
            <w:tcW w:type="dxa" w:w="1872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200</w:t>
            </w:r>
          </w:p>
        </w:tc>
        <w:tc>
          <w:tcPr>
            <w:tcW w:type="dxa" w:w="1872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400</w:t>
            </w:r>
          </w:p>
        </w:tc>
        <w:tc>
          <w:tcPr>
            <w:tcW w:type="dxa" w:w="1872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1600</w:t>
            </w:r>
          </w:p>
        </w:tc>
        <w:tc>
          <w:tcPr>
            <w:tcW w:type="dxa" w:w="1872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6400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相对偏差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2.7×10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-2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1.1×10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-2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1.6×10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-3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4.8×10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-5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偏差来自阈值邻域增长率趋零、有限窗口内尚未展开，而非公式本身。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(35) 与有向随机图的已知阈值逐位相同。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对精确仿真的复现。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</w:rPr>
        <w:t xml:space="preserve">ε=0.01</w:t>
      </w:r>
      <w:r>
        <w:rPr>
          <w:rFonts w:ascii="Times New Roman" w:cs="Times New Roman" w:eastAsia="SimSun" w:hAnsi="Times New Roman"/>
        </w:rPr>
        <w:t xml:space="preserve">，比较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≤12</w:t>
      </w:r>
      <w:r>
        <w:rPr>
          <w:rFonts w:ascii="Times New Roman" w:cs="Times New Roman" w:eastAsia="SimSun" w:hAnsi="Times New Roman"/>
        </w:rPr>
        <w:t xml:space="preserve"> 上的平均偏差：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N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EBCM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均场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终态 </w:t>
            </w: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(∞)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（仿真 / EBCM / 均场）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1000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0.0355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0.199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0.362 / 0.407 / 0.586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4000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0.0073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0.165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0.410 / 0.413 / 0.585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两个尺度是独立抽取的结构。EBCM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增大约缩小五倍，终态误差由 </w:t>
      </w:r>
      <w:r>
        <w:rPr>
          <w:rFonts w:ascii="Cambria Math" w:eastAsia="SimSun" w:hAnsi="Cambria Math"/>
          <w:i w:val="false"/>
          <w:iCs w:val="false"/>
        </w:rPr>
        <w:t xml:space="preserve">12%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0.8%</w:t>
      </w:r>
      <w:r>
        <w:rPr>
          <w:rFonts w:ascii="Times New Roman" w:cs="Times New Roman" w:eastAsia="SimSun" w:hAnsi="Times New Roman"/>
        </w:rPr>
        <w:t xml:space="preserve">——树状闭合的误差应当且确实随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消失；均场的偏差则几乎不随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变化，说明那是闭合层级的误差而非有限尺寸效应。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阈值邻域。</w:t>
      </w:r>
      <w:r>
        <w:rPr>
          <w:rFonts w:ascii="Times New Roman" w:cs="Times New Roman" w:eastAsia="SimSun" w:hAnsi="Times New Roman"/>
        </w:rPr>
        <w:t xml:space="preserve"> (41) 预言均场的误差在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上沿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扫描终态规模：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rPr>
          <w:tblHeader/>
        </w:trPr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λ/λ</w:t>
            </w:r>
            <w:r>
              <w:rPr>
                <w:rFonts w:ascii="Cambria Math" w:eastAsia="SimSun" w:hAnsi="Cambria Math"/>
                <w:b/>
                <w:bCs/>
                <w:i w:val="false"/>
                <w:iCs w:val="false"/>
                <w:vertAlign w:val="subscript"/>
              </w:rPr>
              <w:t xml:space="preserve">c</w:t>
            </w:r>
          </w:p>
        </w:tc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0.7</w:t>
            </w:r>
          </w:p>
        </w:tc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0.9</w:t>
            </w:r>
          </w:p>
        </w:tc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1.0</w:t>
            </w:r>
          </w:p>
        </w:tc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1.2</w:t>
            </w:r>
          </w:p>
        </w:tc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1.6</w:t>
            </w:r>
          </w:p>
        </w:tc>
        <w:tc>
          <w:tcPr>
            <w:tcW w:type="dxa" w:w="1338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2.4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仿真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0.0196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0.0449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0.0791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0.199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0.401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0.565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EBCM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0.0197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0.0469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0.0862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0.213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0.401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0.566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均场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0.0491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0.229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0.315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0.439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0.576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0.689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EBCM 在整条扫描线上跟随仿真，包括阈值处本身；均场在 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处高估五倍、在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处高估四倍，深超临界区才收敛到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倍。这正是 (41) 所预言的形状：均场把阈值压低到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，因而在真实的亚临界区已经给出宏观爆发。第 I 节所称"边基闭合相对均场的增益"由此定量化——增益不是均匀的百分数，而是集中在阈值邻域。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结构预言。</w:t>
      </w:r>
      <w:r>
        <w:rPr>
          <w:rFonts w:ascii="Times New Roman" w:cs="Times New Roman" w:eastAsia="SimSun" w:hAnsi="Times New Roman"/>
        </w:rPr>
        <w:t xml:space="preserve"> 保持两条边际度序列不变、只改变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b/>
                <w:bCs/>
                <w:i w:val="false"/>
                <w:iCs w:val="false"/>
                <w:vertAlign w:val="subscript"/>
              </w:rPr>
              <w:t xml:space="preserve">io</w:t>
            </w:r>
          </w:p>
        </w:tc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-0.795</w:t>
            </w:r>
          </w:p>
        </w:tc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-0.394</w:t>
            </w:r>
          </w:p>
        </w:tc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-0.027</w:t>
            </w:r>
          </w:p>
        </w:tc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+0.387</w:t>
            </w:r>
          </w:p>
        </w:tc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+0.795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κ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1.197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1.596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2.013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2.372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2.790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λ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c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0.717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0.456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0.330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0.267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0.218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阈值在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的可及范围内变动三倍以上，与 (38) 一致。这是第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扫描的解析基线；同时须记住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2026-08-09T12:47:39.966Z</dcterms:created>
  <dcterms:modified xsi:type="dcterms:W3CDTF">2026-08-09T12:47:39.967Z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