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——已数值确认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在任何结构上都不破缺（命题 2），用它做实验会得到一片零信号；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主实验改为驱动分支结构的不对称</w:t>
      </w:r>
      <w:r>
        <w:rPr>
          <w:rFonts w:ascii="Times New Roman" w:cs="Times New Roman" w:eastAsia="SimSun" w:hAnsi="Times New Roman"/>
        </w:rPr>
        <w:t xml:space="preserve">（阶数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、双度序列不对称）——预跑确认这是破缺的实际来源，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不是；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降为上界测量</w:t>
      </w:r>
      <w:r>
        <w:rPr>
          <w:rFonts w:ascii="Times New Roman" w:cs="Times New Roman" w:eastAsia="SimSun" w:hAnsi="Times New Roman"/>
        </w:rPr>
        <w:t xml:space="preserve">：在互换对称序列上扫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，报告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Π|</w:t>
      </w:r>
      <w:r>
        <w:rPr>
          <w:rFonts w:ascii="Times New Roman" w:cs="Times New Roman" w:eastAsia="SimSun" w:hAnsi="Times New Roman"/>
        </w:rPr>
        <w:t xml:space="preserve"> 的置信上界。这是一个有内容的负面结果——它说明宇称分类只给候选集合，不能预测哪一个真正起作用；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不变作为内部一致性检查；</w:t>
      </w:r>
      <w:r>
        <w:rPr>
          <w:rFonts w:ascii="Times New Roman" w:cs="Times New Roman" w:eastAsia="SimSun" w:hAnsi="Times New Roman"/>
          <w:b/>
          <w:bCs/>
        </w:rPr>
        <w:t xml:space="preserve">补偿关系须按全期望公式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⟩=Π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̄+(1-Π)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  <w:b/>
          <w:bCs/>
        </w:rPr>
        <w:t xml:space="preserve"> 逐项核算</w:t>
      </w:r>
      <w:r>
        <w:rPr>
          <w:rFonts w:ascii="Times New Roman" w:cs="Times New Roman" w:eastAsia="SimSun" w:hAnsi="Times New Roman"/>
        </w:rPr>
        <w:t xml:space="preserve">——预跑实测自限爆发项在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47%，简化成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会在最需要它的阈值邻域失效；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设计简化（预跑确认）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比较不受其漂移干扰，故不需要钉住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：阈值邻域用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</w:rPr>
        <w:t xml:space="preserve">=0.02</w:t>
      </w:r>
      <w:r>
        <w:rPr>
          <w:rFonts w:ascii="Times New Roman" w:cs="Times New Roman" w:eastAsia="SimSun" w:hAnsi="Times New Roman"/>
        </w:rPr>
        <w:t xml:space="preserve"> 已足够干净（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预跑），深超临界区双峰间隙才变脏；生产运行仍建议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 并报告对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恒不破缺）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已定论：不驱动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=400</w:t>
            </w:r>
            <w:r>
              <w:rPr>
                <w:rFonts w:ascii="Times New Roman" w:cs="Times New Roman" w:eastAsia="SimSun" w:hAnsi="Times New Roman"/>
              </w:rPr>
              <w:t xml:space="preserve">、6 结构、系综误差棒：合并 0.25–0.58σ 且各结构符号随机。效应量标度检验（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=200</w:t>
            </w:r>
            <w:r>
              <w:rPr>
                <w:rFonts w:ascii="Times New Roman" w:cs="Times New Roman" w:eastAsia="SimSun" w:hAnsi="Times New Roman"/>
              </w:rPr>
              <w:t xml:space="preserve">、8 结构）：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从 0 增至 0.108，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d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Π⟩</w:t>
            </w:r>
            <w:r>
              <w:rPr>
                <w:rFonts w:ascii="Times New Roman" w:cs="Times New Roman" w:eastAsia="SimSun" w:hAnsi="Times New Roman"/>
              </w:rPr>
              <w:t xml:space="preserve">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完全平坦</w:t>
            </w:r>
            <w:r>
              <w:rPr>
                <w:rFonts w:ascii="Times New Roman" w:cs="Times New Roman" w:eastAsia="SimSun" w:hAnsi="Times New Roman"/>
              </w:rPr>
              <w:t xml:space="preserve">（−0.0025→−0.0017）。同协议阳性对照（阶数不对称）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18σ</w:t>
            </w:r>
            <w:r>
              <w:rPr>
                <w:rFonts w:ascii="Times New Roman" w:cs="Times New Roman" w:eastAsia="SimSun" w:hAnsi="Times New Roman"/>
              </w:rPr>
              <w:t xml:space="preserve">。结论：破缺由分支结构不对称驱动，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给上界。见 </w:t>
            </w:r>
            <w:r>
              <w:rPr>
                <w:rFonts w:ascii="Consolas" w:eastAsia="SimSun" w:hAnsi="Consolas"/>
              </w:rPr>
              <w:t xml:space="preserve">tools/delta_alpha_scaling.py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2026-08-09T06:27:30.084Z</dcterms:created>
  <dcterms:modified xsi:type="dcterms:W3CDTF">2026-08-09T06:27:30.085Z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