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60" w:before="0"/>
        <w:jc w:val="center"/>
      </w:pPr>
      <w:r>
        <w:rPr>
          <w:rFonts w:ascii="Times New Roman" w:cs="Times New Roman" w:eastAsia="SimSun" w:hAnsi="Times New Roman"/>
          <w:b/>
          <w:bCs/>
          <w:color w:val="1A1A1A"/>
          <w:sz w:val="32"/>
          <w:szCs w:val="32"/>
        </w:rPr>
        <w:t xml:space="preserve">I. 引言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在成对接触网络上，SIR 传播的理论已沿两条彼此独立的路径发展成熟。终态一侧由渗流承担：任意度分布随机图的连通结构可由生成函数方法解析给出 [1]，而键渗流映射把最终感染规模化归为占据概率 </w:t>
      </w:r>
      <w:r>
        <w:rPr>
          <w:rFonts w:ascii="Cambria Math" w:eastAsia="SimSun" w:hAnsi="Cambria Math"/>
          <w:i w:val="false"/>
          <w:iCs w:val="false"/>
        </w:rPr>
        <w:t xml:space="preserve">φ</w:t>
      </w:r>
      <w:r>
        <w:rPr>
          <w:rFonts w:ascii="Times New Roman" w:cs="Times New Roman" w:eastAsia="SimSun" w:hAnsi="Times New Roman"/>
        </w:rPr>
        <w:t xml:space="preserve"> 下的巨簇规模 [2]；这一思路可上溯至一般流行过程与动力学渗流的等价性 [3]。由此立即可见度分布异质性的作用：临界占据概率为 </w:t>
      </w:r>
      <w:r>
        <w:rPr>
          <w:rFonts w:ascii="Cambria Math" w:eastAsia="SimSun" w:hAnsi="Cambria Math"/>
          <w:i w:val="false"/>
          <w:iCs w:val="false"/>
        </w:rPr>
        <w:t xml:space="preserve">φ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=⟨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</w:rPr>
        <w:t xml:space="preserve">⟩/(⟨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2</w:t>
      </w:r>
      <w:r>
        <w:rPr>
          <w:rFonts w:ascii="Cambria Math" w:eastAsia="SimSun" w:hAnsi="Cambria Math"/>
          <w:i w:val="false"/>
          <w:iCs w:val="false"/>
        </w:rPr>
        <w:t xml:space="preserve">⟩-⟨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</w:rPr>
        <w:t xml:space="preserve">⟩)</w:t>
      </w:r>
      <w:r>
        <w:rPr>
          <w:rFonts w:ascii="Times New Roman" w:cs="Times New Roman" w:eastAsia="SimSun" w:hAnsi="Times New Roman"/>
        </w:rPr>
        <w:t xml:space="preserve">，二阶矩发散时阈值趋于零；无标度网络上的 SIS 模型给出过同一结论 [4]。Kenah 与 Robins 随后指出，SIR 与键渗流之间并非严格同构：与之精确同构的是一个半有向的"流行渗流网络"，其中爆发规模分布对应出分支、阈值对应巨强连通分支的出现、终态规模对应巨出分支 [5]。值得注意的是，方向性由此已经内在地进入了 SIR 的渗流表述，尽管接触网络本身是无向的。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含时一侧由方程法承担。Volz 用成对近似给出随机网络上 SIR 的低维闭合 [6]，Miller 等将其整理为边基房室模型（EBCM），以"沿一条边尚未传来感染"的概率为核心变量，用少数常微分方程同时容纳异质接触率与伙伴关系的有限持续时间 [7]。传染与康复过程的分布形式并非细节：偏离马尔可夫假设会显著改变流行阈值 [8]。两条路径分工明确——渗流给出阈值与终态，方程给出峰值与时间演化——并可相互印证 [9]。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方向性作为接触网络本身的属性也早已被处理，且入出度相关从一开始就是其中的关键量。有向随机图各巨分支的规模由入出度联合分布 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决定；当该分布不可分解——即入度与出度相关时——巨强连通分支的规模会偏离巨入分支与巨出分支规模之积 [10]。在任意两点度相关与双向边同时存在的一般情形下，有向渗流的阈值与各巨分支规模已可解析求出 [11]，这套机制并已直接用于有向接触网络上的流行预测 [12]。入出度相关对动力学的影响亦有直接证据：在有向网络上的阈值型传播中，正的入出度相关在较宽的平均入度范围内提高系统稳健性，负相关则相反 [13]。它与无向网络中的度—度同配性 [14] 并非同一件事——后者刻画相连节点之间度值的相似性，前者刻画同一节点两个方向的度值关系。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与此同时，传播研究的重心转向高阶交互——许多传染并非沿边逐个发生，而是在一个群体内集体发生 [15, 16]，而这类高阶交互在真实数据中普遍存在 [17]。单纯复形上的高阶影响与强化机制可诱导不连续相变，并出现健康态与流行态共存的双稳区 [18]；超图上的社会传播已有适用于任意超图的解析框架，展现一阶与二阶相变、双稳与滞后 [19]；而把异质暴露与最小感染剂量结合，会导出一个普适的非线性感染核，并随之出现不连续相变与超指数增长 [20]——这与经典的阈值型复杂传播 [21, 22] 一脉相承。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结构对高阶传播的影响同样明确。链接度分布的异质性可抑制爆炸式相变 [23]；超核分解给出一种中心性，传播过程局域于中心超核 [24]；由超边之间共享节点数定义的高阶连通分支，其巨分支的存在是单一种子实现全局爆发的必要条件 [25]；哪些群体最适合作为种子也已被刻画 [26]。尤为关键的是，超边之间的重叠决定了转变是否爆炸式，且其作用方向值得注意：只有在阶内重叠较低时才出现爆炸性与双稳 [27]。重叠的组织方式可由一个超边重叠矩阵刻画，其对角元与非对角元分别对应阶内与阶间重叠 [28]，而阶间相关驱动系统沿不同路径走向爆炸式传播 [29]。超图上的渗流理论亦已建立 [30]，相关进展见综述 [31]。这些工作共享同一前提：超边是无向的，一条超边内的所有节点对称地相互施加影响。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然而现实中的高阶交互往往是有向的——施加影响的一方与接受影响的一方并不对称。有向超图正是为刻画这种不对称而设的形式化：每条超边分为施加影响的尾集与接受影响的头集（二者不相交），这一结构在算法与运筹领域已使用三十余年 [32]。代谢与化学反应把一组底物转化为一组产物，是其典型实例 [33]；比特币交易与引用数据亦已按有向超图分析 [34]。针对有向超图的结构刻画工具近年迅速成型：真实数据的微观组织、高阶互惠性与 motif 已被系统刻画 [34, 35]；无向超图中超边重叠的测度与生成器已给出 [36]，位形模型与保度随机化亦有成熟实现 [37, 38]；而保入出度序列的均匀采样与非退化零模型在有向超图上也已可用 [39, 40]。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动力学一侧则由 Li 等开启。他们在有向超图上建立社会传播模型，发现不连续相变的双稳区间随有向强度减弱而收缩，表明方向性确实改变高阶传播的相变结构 [41]。该工作采用均场闭合，不涉及渗流，其方向性由单一标量强度参数调节。均场忽略邻域相关，误差在阈值邻域最大；在成对网络上，正是 EBCM 补上了这一层 [6, 7]。因此，有向超图上的传播阈值究竟如何依赖于结构相关，目前既没有超出均场的含时理论，也没有可用于解析扫描的渗流理论。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本文沿方程与渗流两条路径推进这一问题，并证明二者在同一极限下相合。方程一侧，我们提出有向超图 SIR 的并发型 EBCM 方程；其技术困难在于一个头节点同时承受多条超边、多个尾成员的并发压力，闭合变量不能简单相乘。我们给出闭合方案，在尾集基数 </w:t>
      </w:r>
      <w:r>
        <w:rPr>
          <w:rFonts w:ascii="Cambria Math" w:eastAsia="SimSun" w:hAnsi="Cambria Math"/>
          <w:i w:val="false"/>
          <w:iCs w:val="false"/>
        </w:rPr>
        <w:t xml:space="preserve">τ=1,2</w:t>
      </w:r>
      <w:r>
        <w:rPr>
          <w:rFonts w:ascii="Times New Roman" w:cs="Times New Roman" w:eastAsia="SimSun" w:hAnsi="Times New Roman"/>
        </w:rPr>
        <w:t xml:space="preserve"> 的可控情形下手推验证，并以精确 Gillespie 仿真 [42] 在阈值邻域校验，从而定量给出边基闭合相对均场的增益。渗流一侧，我们把成对网络上的 SIR–渗流映射及其半有向修正 [2, 5] 与有向渗流的生成函数机制 [10, 11] 推广到有向超图，得到爆发阈值随结构参数变化的半解析依赖。两条路径互不依赖，因而可互为验证；我们进一步证明二者的自洽方程在 </w:t>
      </w:r>
      <w:r>
        <w:rPr>
          <w:rFonts w:ascii="Cambria Math" w:eastAsia="SimSun" w:hAnsi="Cambria Math"/>
          <w:i w:val="false"/>
          <w:iCs w:val="false"/>
        </w:rPr>
        <w:t xml:space="preserve">μ→0</w:t>
      </w:r>
      <w:r>
        <w:rPr>
          <w:rFonts w:ascii="Times New Roman" w:cs="Times New Roman" w:eastAsia="SimSun" w:hAnsi="Times New Roman"/>
        </w:rPr>
        <w:t xml:space="preserve"> 极限下同构，给出同一阈值。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为使结构依赖可被受控地检验，我们给出有向超边重叠的可计算定义。对每一对有序超边构造 </w:t>
      </w:r>
      <w:r>
        <w:rPr>
          <w:rFonts w:ascii="Cambria Math" w:eastAsia="SimSun" w:hAnsi="Cambria Math"/>
          <w:i w:val="false"/>
          <w:iCs w:val="false"/>
        </w:rPr>
        <w:t xml:space="preserve">2×2</w:t>
      </w:r>
      <w:r>
        <w:rPr>
          <w:rFonts w:ascii="Times New Roman" w:cs="Times New Roman" w:eastAsia="SimSun" w:hAnsi="Times New Roman"/>
        </w:rPr>
        <w:t xml:space="preserve"> 重叠列联矩阵，其四个通道分别对应共享节点在两条超边中同为尾成员、同为头成员、或一为头一为尾（两个方向各一个通道）。按阶聚合后得到一个张量，其阶对角块与非对角块分别对应已有的阶内与阶间重叠 [27, 28]；对任意一对超边，四个通道之和精确等于无向情形下的重叠，因此本文结果可与无向文献直接对照。互惠通道直接采用文献中的强互惠判据 [34]。两个结构参数在生成流程的不同环节起作用。入出度相关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是双度序列的函数，故在构造该序列的阶段设定（保持两条边际度序列不变，重新配置入度与出度在节点上的配对）；重叠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 则在序列固定之后，由严格保持逐节点入出度的定向重排调节。二者因而可以独立扫描，互不牵动。零模型基线取自已有的均匀采样器 [39, 40]。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方向对称性破缺的分析给出两个与直觉相反的结果。其一，平均爆发规模是错误的序参量：只要终态可表示为随机结构上的可达性，可达有序对的总数在方向翻转下逐实现守恒，故均匀单种子下的 </w:t>
      </w:r>
      <w:r>
        <w:rPr>
          <w:rFonts w:ascii="Cambria Math" w:eastAsia="SimSun" w:hAnsi="Cambria Math"/>
          <w:i w:val="false"/>
          <w:iCs w:val="false"/>
        </w:rPr>
        <w:t xml:space="preserve">⟨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对</w:t>
      </w:r>
      <w:r>
        <w:rPr>
          <w:rFonts w:ascii="Times New Roman" w:cs="Times New Roman" w:eastAsia="SimSun" w:hAnsi="Times New Roman"/>
          <w:b/>
          <w:bCs/>
        </w:rPr>
        <w:t xml:space="preserve">任意</w:t>
      </w:r>
      <w:r>
        <w:rPr>
          <w:rFonts w:ascii="Times New Roman" w:cs="Times New Roman" w:eastAsia="SimSun" w:hAnsi="Times New Roman"/>
        </w:rPr>
        <w:t xml:space="preserve">有向超图都保持不变，无论其结构多么不对称。破缺出现在这些可达对如何分配——大爆发的概率由巨入分支决定、爆发的终态规模由巨出分支决定，而翻转恰好交换二者 [5]。我们因而以爆发概率与条件爆发规模为序参量；二者若破缺必然反向、且乘积保持守恒——这一补偿关系本身即是一项可证伪的预言。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其二，翻转奇是破缺的必要条件，却远非充分条件。本文所用结构量中翻转奇的来源只有两个：双度序列关于入/出分量互换的不对称性，以及共发重叠与共收重叠之差 </w:t>
      </w:r>
      <w:r>
        <w:rPr>
          <w:rFonts w:ascii="Cambria Math" w:eastAsia="SimSun" w:hAnsi="Cambria Math"/>
          <w:i w:val="false"/>
          <w:iCs w:val="false"/>
        </w:rPr>
        <w:t xml:space="preserve">Δα</w:t>
      </w:r>
      <w:r>
        <w:rPr>
          <w:rFonts w:ascii="Times New Roman" w:cs="Times New Roman" w:eastAsia="SimSun" w:hAnsi="Times New Roman"/>
        </w:rPr>
        <w:t xml:space="preserve">。二者的实际作用截然不同：前者驱动的破缺在爆发概率上是数十个标准差的效应，而 </w:t>
      </w:r>
      <w:r>
        <w:rPr>
          <w:rFonts w:ascii="Cambria Math" w:eastAsia="SimSun" w:hAnsi="Cambria Math"/>
          <w:i w:val="false"/>
          <w:iCs w:val="false"/>
        </w:rPr>
        <w:t xml:space="preserve">Δα</w:t>
      </w:r>
      <w:r>
        <w:rPr>
          <w:rFonts w:ascii="Times New Roman" w:cs="Times New Roman" w:eastAsia="SimSun" w:hAnsi="Times New Roman"/>
        </w:rPr>
        <w:t xml:space="preserve"> 尽管同样翻转奇，其效应在同一协议下随 </w:t>
      </w:r>
      <w:r>
        <w:rPr>
          <w:rFonts w:ascii="Cambria Math" w:eastAsia="SimSun" w:hAnsi="Cambria Math"/>
          <w:i w:val="false"/>
          <w:iCs w:val="false"/>
        </w:rPr>
        <w:t xml:space="preserve">Δα</w:t>
      </w:r>
      <w:r>
        <w:rPr>
          <w:rFonts w:ascii="Times New Roman" w:cs="Times New Roman" w:eastAsia="SimSun" w:hAnsi="Times New Roman"/>
        </w:rPr>
        <w:t xml:space="preserve"> 增大始终不可分辨，我们只能给出上界。破缺因而由分支结构的不对称驱动，而非由重叠的极性驱动——宇称分类能划出候选集合，选出其中哪一个起作用则是动力学问题。作为阴性对照，入出度相关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在翻转下是偶的（翻转互换每个节点的入度与出度，而相关系数对其两个变量对称），故单独调节它不可能产生破缺，尽管它确实移动阈值。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还需说明一点：当群体阈值 </w:t>
      </w:r>
      <w:r>
        <w:rPr>
          <w:rFonts w:ascii="Cambria Math" w:eastAsia="SimSun" w:hAnsi="Cambria Math"/>
          <w:i w:val="false"/>
          <w:iCs w:val="false"/>
        </w:rPr>
        <w:t xml:space="preserve">θ≥2</w:t>
      </w:r>
      <w:r>
        <w:rPr>
          <w:rFonts w:ascii="Times New Roman" w:cs="Times New Roman" w:eastAsia="SimSun" w:hAnsi="Times New Roman"/>
        </w:rPr>
        <w:t xml:space="preserve"> 时，激活规则不再是单条超边的独立事件，模型转而落入 bootstrap 与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Times New Roman" w:cs="Times New Roman" w:eastAsia="SimSun" w:hAnsi="Times New Roman"/>
        </w:rPr>
        <w:t xml:space="preserve">-core 型渗流，其相变结构不同于普通渗流——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Times New Roman" w:cs="Times New Roman" w:eastAsia="SimSun" w:hAnsi="Times New Roman"/>
        </w:rPr>
        <w:t xml:space="preserve">-core 的出现是混合型相变 [43]，bootstrap 渗流则可能同时存在一个连续阈值与一个更高的混合型阈值，且后者在二阶矩发散时消失 [44]；高阶渗流与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Times New Roman" w:cs="Times New Roman" w:eastAsia="SimSun" w:hAnsi="Times New Roman"/>
        </w:rPr>
        <w:t xml:space="preserve">-core 渗流之间的联系在多重超图上已被建立 [45]。本文对 </w:t>
      </w:r>
      <w:r>
        <w:rPr>
          <w:rFonts w:ascii="Cambria Math" w:eastAsia="SimSun" w:hAnsi="Cambria Math"/>
          <w:i w:val="false"/>
          <w:iCs w:val="false"/>
        </w:rPr>
        <w:t xml:space="preserve">θ=1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θ≥2</w:t>
      </w:r>
      <w:r>
        <w:rPr>
          <w:rFonts w:ascii="Times New Roman" w:cs="Times New Roman" w:eastAsia="SimSun" w:hAnsi="Times New Roman"/>
        </w:rPr>
        <w:t xml:space="preserve"> 分别处理。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本文余下部分安排如下。第 II 节给出有向超图与 SIR 动力学的定义、有向超边重叠的可计算形式，以及结构量在方向翻转下的宇称分类。第 III 节推导并发型 EBCM 方程并给出仿真校验。第 IV 节建立 SIR 到有向超图渗流的映射与生成函数阈值理论。第 V 节介绍保度生成与定向重连工具。第 VI 节给出阈值对结构参数的依赖、方向对称性破缺，以及两方法的交叉验证。第 VII 节在真实有向超图数据上检验模型。第 VIII 节为讨论与结论。</w:t>
      </w:r>
    </w:p>
    <w:p>
      <w:pPr>
        <w:pStyle w:val="Heading1"/>
        <w:spacing w:after="160" w:before="0"/>
        <w:jc w:val="center"/>
      </w:pPr>
      <w:r>
        <w:rPr>
          <w:rFonts w:ascii="Times New Roman" w:cs="Times New Roman" w:eastAsia="SimSun" w:hAnsi="Times New Roman"/>
          <w:b/>
          <w:bCs/>
          <w:color w:val="1A1A1A"/>
          <w:sz w:val="32"/>
          <w:szCs w:val="32"/>
        </w:rPr>
        <w:t xml:space="preserve">II. 模型与结构量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A. 有向超图与记号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有向超图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=(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由节点集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Times New Roman" w:cs="Times New Roman" w:eastAsia="SimSun" w:hAnsi="Times New Roman"/>
        </w:rPr>
        <w:t xml:space="preserve">（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=|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Times New Roman" w:cs="Times New Roman" w:eastAsia="SimSun" w:hAnsi="Times New Roman"/>
        </w:rPr>
        <w:t xml:space="preserve">）与超边集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（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</w:rPr>
        <w:t xml:space="preserve">=|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Times New Roman" w:cs="Times New Roman" w:eastAsia="SimSun" w:hAnsi="Times New Roman"/>
        </w:rPr>
        <w:t xml:space="preserve">）构成。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为集合，即不含重复超边；第 V 节的生成器在配对后显式修复重复超边与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∩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 相交的违规。每条超边是一个有序对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),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)⊆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)∩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)=∅</w:t>
      </w:r>
      <w:r>
        <w:rPr>
          <w:rFonts w:ascii="Cambria Math" w:eastAsia="SimSun" w:hAnsi="Cambria Math"/>
          <w:sz w:val="21"/>
          <w:szCs w:val="21"/>
        </w:rPr>
        <w:t xml:space="preserve">	(1)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其中尾集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为施加影响的一方，头集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为接受影响的一方。二者不相交，这既排除了自作用，也是后文重叠退化关系 (11) 成立的前提。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主线取同质阶数，即对所有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有 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)|=τ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)|=η</w:t>
      </w:r>
      <w:r>
        <w:rPr>
          <w:rFonts w:ascii="Times New Roman" w:cs="Times New Roman" w:eastAsia="SimSun" w:hAnsi="Times New Roman"/>
        </w:rPr>
        <w:t xml:space="preserve">；异质阶数的推广见附录。</w:t>
      </w:r>
      <w:r>
        <w:rPr>
          <w:rFonts w:ascii="Cambria Math" w:eastAsia="SimSun" w:hAnsi="Cambria Math"/>
          <w:i w:val="false"/>
          <w:iCs w:val="false"/>
        </w:rPr>
        <w:t xml:space="preserve">τ=η=1</w:t>
      </w:r>
      <w:r>
        <w:rPr>
          <w:rFonts w:ascii="Times New Roman" w:cs="Times New Roman" w:eastAsia="SimSun" w:hAnsi="Times New Roman"/>
        </w:rPr>
        <w:t xml:space="preserve"> 时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 退化为普通有向图；取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)∪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为超边的支撑集则退化为无向超图。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节点的出度与入度分别计其作为尾成员与头成员的次数，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)=|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{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∈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: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∈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}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|,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)=|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{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∈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: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∈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}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|</w:t>
      </w:r>
      <w:r>
        <w:rPr>
          <w:rFonts w:ascii="Cambria Math" w:eastAsia="SimSun" w:hAnsi="Cambria Math"/>
          <w:sz w:val="21"/>
          <w:szCs w:val="21"/>
        </w:rPr>
        <w:t xml:space="preserve">	(2)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二者的联合分布记为 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。逐边计数给出两条握手关系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v∈ V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)=τ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v∈ V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)=η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</w:t>
      </w:r>
      <w:r>
        <w:rPr>
          <w:rFonts w:ascii="Cambria Math" w:eastAsia="SimSun" w:hAnsi="Cambria Math"/>
          <w:sz w:val="21"/>
          <w:szCs w:val="21"/>
        </w:rPr>
        <w:t xml:space="preserve">	(3)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因此 </w:t>
      </w:r>
      <w:r>
        <w:rPr>
          <w:rFonts w:ascii="Cambria Math" w:eastAsia="SimSun" w:hAnsi="Cambria Math"/>
          <w:i w:val="false"/>
          <w:iCs w:val="false"/>
        </w:rPr>
        <w:t xml:space="preserve">⟨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⟩/⟨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⟩=τ/η</w:t>
      </w:r>
      <w:r>
        <w:rPr>
          <w:rFonts w:ascii="Times New Roman" w:cs="Times New Roman" w:eastAsia="SimSun" w:hAnsi="Times New Roman"/>
        </w:rPr>
        <w:t xml:space="preserve">：尾集与头集基数不等时，两个平均度必然不等。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本文所用的随机系综为有向超图位形模型：给定双度序列 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 w:val="false"/>
          <w:iCs w:val="false"/>
        </w:rPr>
        <w:t xml:space="preserve">{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),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))</w:t>
      </w:r>
      <w:r>
        <w:rPr>
          <w:rFonts w:ascii="Cambria Math" w:eastAsia="SimSun" w:hAnsi="Cambria Math"/>
          <w:i w:val="false"/>
          <w:iCs w:val="false"/>
        </w:rPr>
        <w:t xml:space="preserve">}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v∈ V</w:t>
      </w:r>
      <w:r>
        <w:rPr>
          <w:rFonts w:ascii="Times New Roman" w:cs="Times New Roman" w:eastAsia="SimSun" w:hAnsi="Times New Roman"/>
        </w:rPr>
        <w:t xml:space="preserve"> 与阶数 </w:t>
      </w:r>
      <w:r>
        <w:rPr>
          <w:rFonts w:ascii="Cambria Math" w:eastAsia="SimSun" w:hAnsi="Cambria Math"/>
          <w:i w:val="false"/>
          <w:iCs w:val="false"/>
        </w:rPr>
        <w:t xml:space="preserve">(τ,η)</w:t>
      </w:r>
      <w:r>
        <w:rPr>
          <w:rFonts w:ascii="Times New Roman" w:cs="Times New Roman" w:eastAsia="SimSun" w:hAnsi="Times New Roman"/>
        </w:rPr>
        <w:t xml:space="preserve">，对全部尾槽与头槽做均匀随机配对，再修复违规超边；具体实现见第 V 节。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本文的第一个结构参数是入出度相关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r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=(⟨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⟩-⟨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⟩⟨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⟩)/(σ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k_in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k_out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sz w:val="21"/>
          <w:szCs w:val="21"/>
        </w:rPr>
        <w:t xml:space="preserve">	(4)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即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在节点上的 Pearson 相关系数——刻画同一节点两个方向的度值关系，而非相连节点之间的度值相似性 [14]。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必须强调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是</w:t>
      </w:r>
      <w:r>
        <w:rPr>
          <w:rFonts w:ascii="Times New Roman" w:cs="Times New Roman" w:eastAsia="SimSun" w:hAnsi="Times New Roman"/>
          <w:b/>
          <w:bCs/>
        </w:rPr>
        <w:t xml:space="preserve">双度序列 </w:t>
      </w:r>
      <w:r>
        <w:rPr>
          <w:rFonts w:ascii="Cambria Math" w:eastAsia="SimSun" w:hAnsi="Cambria Math"/>
          <w:b/>
          <w:bCs/>
          <w:i/>
          <w:iCs/>
        </w:rPr>
        <w:t xml:space="preserve">d</w:t>
      </w:r>
      <w:r>
        <w:rPr>
          <w:rFonts w:ascii="Times New Roman" w:cs="Times New Roman" w:eastAsia="SimSun" w:hAnsi="Times New Roman"/>
          <w:b/>
          <w:bCs/>
        </w:rPr>
        <w:t xml:space="preserve"> 的函数</w:t>
      </w:r>
      <w:r>
        <w:rPr>
          <w:rFonts w:ascii="Times New Roman" w:cs="Times New Roman" w:eastAsia="SimSun" w:hAnsi="Times New Roman"/>
        </w:rPr>
        <w:t xml:space="preserve">，与超边如何连接无关。因此它由系综的输入决定，一经给定即不再随超边的重排而改变：调节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只能在构造 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Times New Roman" w:cs="Times New Roman" w:eastAsia="SimSun" w:hAnsi="Times New Roman"/>
        </w:rPr>
        <w:t xml:space="preserve"> 的阶段进行（在两条边际度序列固定的前提下重新配置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Times New Roman" w:cs="Times New Roman" w:eastAsia="SimSun" w:hAnsi="Times New Roman"/>
        </w:rPr>
        <w:t xml:space="preserve"> 在节点上的配对），而下一节的重叠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 则相反，它在 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Times New Roman" w:cs="Times New Roman" w:eastAsia="SimSun" w:hAnsi="Times New Roman"/>
        </w:rPr>
        <w:t xml:space="preserve"> 固定后由超边重排调节。两个结构参数因而作用在生成流程的不同环节，互不干扰——这一分离正是第 V 节两套工具的分工依据。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B. SIR 动力学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每个节点在任一时刻处于易感（S）、感染（I）、康复（R）三态之一。感染只沿尾→头方向传递：超边尾集中的感染成员驱动其头集中的易感节点，反向不发生传递。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记 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)⊆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Times New Roman" w:cs="Times New Roman" w:eastAsia="SimSun" w:hAnsi="Times New Roman"/>
        </w:rPr>
        <w:t xml:space="preserve"> 为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 时刻的感染节点集，并令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)∩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I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)|</w:t>
      </w:r>
      <w:r>
        <w:rPr>
          <w:rFonts w:ascii="Cambria Math" w:eastAsia="SimSun" w:hAnsi="Cambria Math"/>
          <w:sz w:val="21"/>
          <w:szCs w:val="21"/>
        </w:rPr>
        <w:t xml:space="preserve">	(5)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为超边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尾集中已感染的成员数。超边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对其头集中每个尚处易感态的节点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Cambria Math" w:eastAsia="SimSun" w:hAnsi="Cambria Math"/>
          <w:i w:val="false"/>
          <w:iCs w:val="false"/>
        </w:rPr>
        <w:t xml:space="preserve">∈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施加的感染率取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)=β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g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g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(0)=0</w:t>
      </w:r>
      <w:r>
        <w:rPr>
          <w:rFonts w:ascii="Cambria Math" w:eastAsia="SimSun" w:hAnsi="Cambria Math"/>
          <w:sz w:val="21"/>
          <w:szCs w:val="21"/>
        </w:rPr>
        <w:t xml:space="preserve">	(6)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其中 </w:t>
      </w:r>
      <w:r>
        <w:rPr>
          <w:rFonts w:ascii="Cambria Math" w:eastAsia="SimSun" w:hAnsi="Cambria Math"/>
          <w:i w:val="false"/>
          <w:iCs w:val="false"/>
        </w:rPr>
        <w:t xml:space="preserve">β&gt;0</w:t>
      </w:r>
      <w:r>
        <w:rPr>
          <w:rFonts w:ascii="Times New Roman" w:cs="Times New Roman" w:eastAsia="SimSun" w:hAnsi="Times New Roman"/>
        </w:rPr>
        <w:t xml:space="preserve"> 为传播强度，</w:t>
      </w:r>
      <w:r>
        <w:rPr>
          <w:rFonts w:ascii="Cambria Math" w:eastAsia="SimSun" w:hAnsi="Cambria Math"/>
          <w:i/>
          <w:iCs/>
        </w:rPr>
        <w:t xml:space="preserve">g</w:t>
      </w:r>
      <w:r>
        <w:rPr>
          <w:rFonts w:ascii="Times New Roman" w:cs="Times New Roman" w:eastAsia="SimSun" w:hAnsi="Times New Roman"/>
        </w:rPr>
        <w:t xml:space="preserve"> 为感染核。本文主线取群体阈值核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g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)=Θ(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-θ)=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{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1,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≥θ; 0,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&lt;θ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}</w:t>
      </w:r>
      <w:r>
        <w:rPr>
          <w:rFonts w:ascii="Cambria Math" w:eastAsia="SimSun" w:hAnsi="Cambria Math"/>
          <w:sz w:val="21"/>
          <w:szCs w:val="21"/>
        </w:rPr>
        <w:t xml:space="preserve">	(7)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尾集感染成员数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≥θ</w:t>
      </w:r>
      <w:r>
        <w:rPr>
          <w:rFonts w:ascii="Times New Roman" w:cs="Times New Roman" w:eastAsia="SimSun" w:hAnsi="Times New Roman"/>
        </w:rPr>
        <w:t xml:space="preserve"> 时超边处于激活态，以恒定率向头集传递；成员康复使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e</w:t>
      </w:r>
      <w:r>
        <w:rPr>
          <w:rFonts w:ascii="Times New Roman" w:cs="Times New Roman" w:eastAsia="SimSun" w:hAnsi="Times New Roman"/>
        </w:rPr>
        <w:t xml:space="preserve"> 回落到 </w:t>
      </w: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Times New Roman" w:cs="Times New Roman" w:eastAsia="SimSun" w:hAnsi="Times New Roman"/>
        </w:rPr>
        <w:t xml:space="preserve"> 以下时超边失活。</w:t>
      </w:r>
      <w:r>
        <w:rPr>
          <w:rFonts w:ascii="Cambria Math" w:eastAsia="SimSun" w:hAnsi="Cambria Math"/>
          <w:i w:val="false"/>
          <w:iCs w:val="false"/>
        </w:rPr>
        <w:t xml:space="preserve">θ=1</w:t>
      </w:r>
      <w:r>
        <w:rPr>
          <w:rFonts w:ascii="Times New Roman" w:cs="Times New Roman" w:eastAsia="SimSun" w:hAnsi="Times New Roman"/>
        </w:rPr>
        <w:t xml:space="preserve"> 对应简单传播，任一尾成员感染即足以激活超边；</w:t>
      </w:r>
      <w:r>
        <w:rPr>
          <w:rFonts w:ascii="Cambria Math" w:eastAsia="SimSun" w:hAnsi="Cambria Math"/>
          <w:i w:val="false"/>
          <w:iCs w:val="false"/>
        </w:rPr>
        <w:t xml:space="preserve">θ≥2</w:t>
      </w:r>
      <w:r>
        <w:rPr>
          <w:rFonts w:ascii="Times New Roman" w:cs="Times New Roman" w:eastAsia="SimSun" w:hAnsi="Times New Roman"/>
        </w:rPr>
        <w:t xml:space="preserve"> 则要求多个尾成员的联合状态，属于阈值型复杂传播 [21, 22]。两者的渗流对应物不同，将在第 IV 节分别处理。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阈值放在尾侧、且逐超边判定，是本文主线的机制选择。取线性核 </w:t>
      </w:r>
      <w:r>
        <w:rPr>
          <w:rFonts w:ascii="Cambria Math" w:eastAsia="SimSun" w:hAnsi="Cambria Math"/>
          <w:i/>
          <w:iCs/>
        </w:rPr>
        <w:t xml:space="preserve">g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)=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可回收"每个感染尾成员独立传递"的情形；把阈值改放头侧、令头节点在跨超边累积的剂量超过阈值时被感染，则得到另一类机制，由附录的剂量核统一处理。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易感节点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Times New Roman" w:cs="Times New Roman" w:eastAsia="SimSun" w:hAnsi="Times New Roman"/>
        </w:rPr>
        <w:t xml:space="preserve"> 的总感染率是它所在全部头集的贡献之和，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u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e: u∈ H(e)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sz w:val="21"/>
          <w:szCs w:val="21"/>
        </w:rPr>
        <w:t xml:space="preserve">	(8)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感染节点以恒定率 </w:t>
      </w:r>
      <w:r>
        <w:rPr>
          <w:rFonts w:ascii="Cambria Math" w:eastAsia="SimSun" w:hAnsi="Cambria Math"/>
          <w:i w:val="false"/>
          <w:iCs w:val="false"/>
        </w:rPr>
        <w:t xml:space="preserve">μ</w:t>
      </w:r>
      <w:r>
        <w:rPr>
          <w:rFonts w:ascii="Times New Roman" w:cs="Times New Roman" w:eastAsia="SimSun" w:hAnsi="Times New Roman"/>
        </w:rPr>
        <w:t xml:space="preserve"> 独立康复，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→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，康复后不再参与传递。以 </w:t>
      </w:r>
      <w:r>
        <w:rPr>
          <w:rFonts w:ascii="Cambria Math" w:eastAsia="SimSun" w:hAnsi="Cambria Math"/>
          <w:i w:val="false"/>
          <w:iCs w:val="false"/>
        </w:rPr>
        <w:t xml:space="preserve">μ</w:t>
      </w:r>
      <w:r>
        <w:rPr>
          <w:rFonts w:ascii="Times New Roman" w:cs="Times New Roman" w:eastAsia="SimSun" w:hAnsi="Times New Roman"/>
        </w:rPr>
        <w:t xml:space="preserve"> 归一时间尺度后，过程只依赖比值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λ≡β/μ</w:t>
      </w:r>
      <w:r>
        <w:rPr>
          <w:rFonts w:ascii="Cambria Math" w:eastAsia="SimSun" w:hAnsi="Cambria Math"/>
          <w:sz w:val="21"/>
          <w:szCs w:val="21"/>
        </w:rPr>
        <w:t xml:space="preserve">	(9)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故给定感染核后，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Times New Roman" w:cs="Times New Roman" w:eastAsia="SimSun" w:hAnsi="Times New Roman"/>
        </w:rPr>
        <w:t xml:space="preserve"> 是唯一的连续动力学控制参数，爆发阈值指其临界值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；后文所称"阈值随结构参数变化"即指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对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 等量的依赖。</w:t>
      </w:r>
      <w:r>
        <w:rPr>
          <w:rFonts w:ascii="Cambria Math" w:eastAsia="SimSun" w:hAnsi="Cambria Math"/>
          <w:i w:val="false"/>
          <w:iCs w:val="false"/>
        </w:rPr>
        <w:t xml:space="preserve">{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}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V</w:t>
      </w:r>
      <w:r>
        <w:rPr>
          <w:rFonts w:ascii="Times New Roman" w:cs="Times New Roman" w:eastAsia="SimSun" w:hAnsi="Times New Roman"/>
        </w:rPr>
        <w:t xml:space="preserve"> 上的演化因而是连续时间 Markov 过程，可用 Gillespie 算法精确抽样 [42]——这是第 III 节数值校验的基础。非指数康复期分布的推广见附录。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初始条件需随 </w:t>
      </w: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Times New Roman" w:cs="Times New Roman" w:eastAsia="SimSun" w:hAnsi="Times New Roman"/>
        </w:rPr>
        <w:t xml:space="preserve"> 而变。</w:t>
      </w:r>
      <w:r>
        <w:rPr>
          <w:rFonts w:ascii="Cambria Math" w:eastAsia="SimSun" w:hAnsi="Cambria Math"/>
          <w:i w:val="false"/>
          <w:iCs w:val="false"/>
        </w:rPr>
        <w:t xml:space="preserve">θ=1</w:t>
      </w:r>
      <w:r>
        <w:rPr>
          <w:rFonts w:ascii="Times New Roman" w:cs="Times New Roman" w:eastAsia="SimSun" w:hAnsi="Times New Roman"/>
        </w:rPr>
        <w:t xml:space="preserve"> 时取单个均匀随机选取的种子节点感染即可。</w:t>
      </w:r>
      <w:r>
        <w:rPr>
          <w:rFonts w:ascii="Cambria Math" w:eastAsia="SimSun" w:hAnsi="Cambria Math"/>
          <w:i w:val="false"/>
          <w:iCs w:val="false"/>
        </w:rPr>
        <w:t xml:space="preserve">θ≥2</w:t>
      </w:r>
      <w:r>
        <w:rPr>
          <w:rFonts w:ascii="Times New Roman" w:cs="Times New Roman" w:eastAsia="SimSun" w:hAnsi="Times New Roman"/>
        </w:rPr>
        <w:t xml:space="preserve"> 时单个种子无法激活任何超边——任一超边的感染尾成员数至多为 </w:t>
      </w:r>
      <w:r>
        <w:rPr>
          <w:rFonts w:ascii="Cambria Math" w:eastAsia="SimSun" w:hAnsi="Cambria Math"/>
          <w:i w:val="false"/>
          <w:iCs w:val="false"/>
        </w:rPr>
        <w:t xml:space="preserve">1&lt;θ</w:t>
      </w:r>
      <w:r>
        <w:rPr>
          <w:rFonts w:ascii="Times New Roman" w:cs="Times New Roman" w:eastAsia="SimSun" w:hAnsi="Times New Roman"/>
        </w:rPr>
        <w:t xml:space="preserve">——过程立即停在初态，爆发规模恒为 </w:t>
      </w:r>
      <w:r>
        <w:rPr>
          <w:rFonts w:ascii="Cambria Math" w:eastAsia="SimSun" w:hAnsi="Cambria Math"/>
          <w:i w:val="false"/>
          <w:iCs w:val="false"/>
        </w:rPr>
        <w:t xml:space="preserve">1/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；因此必须取一个规模不小于 </w:t>
      </w: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Times New Roman" w:cs="Times New Roman" w:eastAsia="SimSun" w:hAnsi="Times New Roman"/>
        </w:rPr>
        <w:t xml:space="preserve"> 的种子集，我们取均匀随机的初始感染比例 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Times New Roman" w:cs="Times New Roman" w:eastAsia="SimSun" w:hAnsi="Times New Roman"/>
        </w:rPr>
        <w:t xml:space="preserve">。这与 bootstrap 渗流以初始激活比例为控制参数的做法一致 [44]，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Times New Roman" w:cs="Times New Roman" w:eastAsia="SimSun" w:hAnsi="Times New Roman"/>
        </w:rPr>
        <w:t xml:space="preserve"> 因而是 </w:t>
      </w:r>
      <w:r>
        <w:rPr>
          <w:rFonts w:ascii="Cambria Math" w:eastAsia="SimSun" w:hAnsi="Cambria Math"/>
          <w:i w:val="false"/>
          <w:iCs w:val="false"/>
        </w:rPr>
        <w:t xml:space="preserve">θ≥2</w:t>
      </w:r>
      <w:r>
        <w:rPr>
          <w:rFonts w:ascii="Times New Roman" w:cs="Times New Roman" w:eastAsia="SimSun" w:hAnsi="Times New Roman"/>
        </w:rPr>
        <w:t xml:space="preserve"> 分支的第二个控制参数。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有限系统几乎必然在有限时间内到达无感染者的吸收态。记该吸收态中康复节点的占比为爆发规模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Times New Roman" w:cs="Times New Roman" w:eastAsia="SimSun" w:hAnsi="Times New Roman"/>
        </w:rPr>
        <w:t xml:space="preserve">，记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</w:t>
      </w:r>
      <w:r>
        <w:rPr>
          <w:rFonts w:ascii="Times New Roman" w:cs="Times New Roman" w:eastAsia="SimSun" w:hAnsi="Times New Roman"/>
        </w:rPr>
        <w:t xml:space="preserve"> 为给定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 时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Times New Roman" w:cs="Times New Roman" w:eastAsia="SimSun" w:hAnsi="Times New Roman"/>
        </w:rPr>
        <w:t xml:space="preserve"> 对动力学随机性与种子选取的条件期望。两种初始条件下种子分布都均匀，因而与超边方向无关，这一点 II.D 将用到。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式 (5)–(8) 中方向性的作用是不对称的：节点的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Times New Roman" w:cs="Times New Roman" w:eastAsia="SimSun" w:hAnsi="Times New Roman"/>
        </w:rPr>
        <w:t xml:space="preserve"> 决定它能把感染推给多少个头集，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决定它暴露于多少个尾集。这一不对称正是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得以进入动力学的通道。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C. 有向超边重叠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第二个结构参数刻画超边之间如何共享节点。在无向超图中，两条超边的重叠只有"共享几个节点"一个自由度 [27, 28]；引入尾/头之分后，共享节点在两条超边中各自扮演的角色也成为信息。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对任意有序超边对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≠ 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Times New Roman" w:cs="Times New Roman" w:eastAsia="SimSun" w:hAnsi="Times New Roman"/>
        </w:rPr>
        <w:t xml:space="preserve">，定义重叠列联矩阵的四个分量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)∩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)|,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∈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{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}</w:t>
      </w:r>
      <w:r>
        <w:rPr>
          <w:rFonts w:ascii="Cambria Math" w:eastAsia="SimSun" w:hAnsi="Cambria Math"/>
          <w:sz w:val="21"/>
          <w:szCs w:val="21"/>
        </w:rPr>
        <w:t xml:space="preserve">	(10)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其中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 当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 当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，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Times New Roman" w:cs="Times New Roman" w:eastAsia="SimSun" w:hAnsi="Times New Roman"/>
        </w:rPr>
        <w:t xml:space="preserve"> 同理。四个通道各有独立的动力学含义：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TT</w:t>
      </w:r>
      <w:r>
        <w:rPr>
          <w:rFonts w:ascii="Times New Roman" w:cs="Times New Roman" w:eastAsia="SimSun" w:hAnsi="Times New Roman"/>
        </w:rPr>
        <w:t xml:space="preserve"> 为</w:t>
      </w:r>
      <w:r>
        <w:rPr>
          <w:rFonts w:ascii="Times New Roman" w:cs="Times New Roman" w:eastAsia="SimSun" w:hAnsi="Times New Roman"/>
          <w:b/>
          <w:bCs/>
        </w:rPr>
        <w:t xml:space="preserve">共发</w:t>
      </w:r>
      <w:r>
        <w:rPr>
          <w:rFonts w:ascii="Times New Roman" w:cs="Times New Roman" w:eastAsia="SimSun" w:hAnsi="Times New Roman"/>
        </w:rPr>
        <w:t xml:space="preserve">，共享节点在两条超边中同为尾成员，同一感染源向两个不同头集扇出；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HH</w:t>
      </w:r>
      <w:r>
        <w:rPr>
          <w:rFonts w:ascii="Times New Roman" w:cs="Times New Roman" w:eastAsia="SimSun" w:hAnsi="Times New Roman"/>
        </w:rPr>
        <w:t xml:space="preserve"> 为</w:t>
      </w:r>
      <w:r>
        <w:rPr>
          <w:rFonts w:ascii="Times New Roman" w:cs="Times New Roman" w:eastAsia="SimSun" w:hAnsi="Times New Roman"/>
          <w:b/>
          <w:bCs/>
        </w:rPr>
        <w:t xml:space="preserve">共收</w:t>
      </w:r>
      <w:r>
        <w:rPr>
          <w:rFonts w:ascii="Times New Roman" w:cs="Times New Roman" w:eastAsia="SimSun" w:hAnsi="Times New Roman"/>
        </w:rPr>
        <w:t xml:space="preserve">，共享节点同为头成员，两条超边的感染率按 (8) 在该节点上叠加（附录的头侧剂量核下，跨超边剂量亦在此累积）；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HT</w:t>
      </w:r>
      <w:r>
        <w:rPr>
          <w:rFonts w:ascii="Times New Roman" w:cs="Times New Roman" w:eastAsia="SimSun" w:hAnsi="Times New Roman"/>
        </w:rPr>
        <w:t xml:space="preserve"> 为</w:t>
      </w:r>
      <w:r>
        <w:rPr>
          <w:rFonts w:ascii="Times New Roman" w:cs="Times New Roman" w:eastAsia="SimSun" w:hAnsi="Times New Roman"/>
          <w:b/>
          <w:bCs/>
        </w:rPr>
        <w:t xml:space="preserve">串联</w:t>
      </w:r>
      <w:r>
        <w:rPr>
          <w:rFonts w:ascii="Times New Roman" w:cs="Times New Roman" w:eastAsia="SimSun" w:hAnsi="Times New Roman"/>
        </w:rPr>
        <w:t xml:space="preserve">，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的头集落入 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Times New Roman" w:cs="Times New Roman" w:eastAsia="SimSun" w:hAnsi="Times New Roman"/>
        </w:rPr>
        <w:t xml:space="preserve"> 的尾集，构成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→ 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Times New Roman" w:cs="Times New Roman" w:eastAsia="SimSun" w:hAnsi="Times New Roman"/>
        </w:rPr>
        <w:t xml:space="preserve"> 的传播链；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TH</w:t>
      </w:r>
      <w:r>
        <w:rPr>
          <w:rFonts w:ascii="Times New Roman" w:cs="Times New Roman" w:eastAsia="SimSun" w:hAnsi="Times New Roman"/>
        </w:rPr>
        <w:t xml:space="preserve"> 为反向串联。由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)∩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)=∅</w:t>
      </w:r>
      <w:r>
        <w:rPr>
          <w:rFonts w:ascii="Times New Roman" w:cs="Times New Roman" w:eastAsia="SimSun" w:hAnsi="Times New Roman"/>
        </w:rPr>
        <w:t xml:space="preserve">，令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̄=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)∪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即得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̄∩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̄|=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HT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HH</w:t>
      </w:r>
      <w:r>
        <w:rPr>
          <w:rFonts w:ascii="Cambria Math" w:eastAsia="SimSun" w:hAnsi="Cambria Math"/>
          <w:sz w:val="21"/>
          <w:szCs w:val="21"/>
        </w:rPr>
        <w:t xml:space="preserve">	(11)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也就是说，对任意一对超边，四通道之和精确等于其无向重叠：本节的重叠量是现行定义的方向细化，因而后文结果可与无向文献直接对照。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归一化到 </w:t>
      </w:r>
      <w:r>
        <w:rPr>
          <w:rFonts w:ascii="Cambria Math" w:eastAsia="SimSun" w:hAnsi="Cambria Math"/>
          <w:i w:val="false"/>
          <w:iCs w:val="false"/>
        </w:rPr>
        <w:t xml:space="preserve">[0,1]</w:t>
      </w:r>
      <w:r>
        <w:rPr>
          <w:rFonts w:ascii="Times New Roman" w:cs="Times New Roman" w:eastAsia="SimSun" w:hAnsi="Times New Roman"/>
        </w:rPr>
        <w:t xml:space="preserve"> 取（同质阶数下分母逐通道为常数：</w:t>
      </w:r>
      <w:r>
        <w:rPr>
          <w:rFonts w:ascii="Cambria Math" w:eastAsia="SimSun" w:hAnsi="Cambria Math"/>
          <w:i/>
          <w:iCs/>
        </w:rPr>
        <w:t xml:space="preserve">TT</w:t>
      </w:r>
      <w:r>
        <w:rPr>
          <w:rFonts w:ascii="Times New Roman" w:cs="Times New Roman" w:eastAsia="SimSun" w:hAnsi="Times New Roman"/>
        </w:rPr>
        <w:t xml:space="preserve"> 取 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/>
          <w:iCs/>
        </w:rPr>
        <w:t xml:space="preserve">HH</w:t>
      </w:r>
      <w:r>
        <w:rPr>
          <w:rFonts w:ascii="Times New Roman" w:cs="Times New Roman" w:eastAsia="SimSun" w:hAnsi="Times New Roman"/>
        </w:rPr>
        <w:t xml:space="preserve"> 取 </w:t>
      </w:r>
      <w:r>
        <w:rPr>
          <w:rFonts w:ascii="Cambria Math" w:eastAsia="SimSun" w:hAnsi="Cambria Math"/>
          <w:i w:val="false"/>
          <w:iCs w:val="false"/>
        </w:rPr>
        <w:t xml:space="preserve">η</w:t>
      </w:r>
      <w:r>
        <w:rPr>
          <w:rFonts w:ascii="Times New Roman" w:cs="Times New Roman" w:eastAsia="SimSun" w:hAnsi="Times New Roman"/>
        </w:rPr>
        <w:t xml:space="preserve">、两个串联通道取 </w:t>
      </w:r>
      <w:r>
        <w:rPr>
          <w:rFonts w:ascii="Cambria Math" w:eastAsia="SimSun" w:hAnsi="Cambria Math"/>
          <w:i/>
          <w:iCs/>
        </w:rPr>
        <w:t xml:space="preserve">min</w:t>
      </w:r>
      <w:r>
        <w:rPr>
          <w:rFonts w:ascii="Cambria Math" w:eastAsia="SimSun" w:hAnsi="Cambria Math"/>
          <w:i w:val="false"/>
          <w:iCs w:val="false"/>
        </w:rPr>
        <w:t xml:space="preserve">(τ,η)</w:t>
      </w:r>
      <w:r>
        <w:rPr>
          <w:rFonts w:ascii="Times New Roman" w:cs="Times New Roman" w:eastAsia="SimSun" w:hAnsi="Times New Roman"/>
        </w:rPr>
        <w:t xml:space="preserve">）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))/(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)|,|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)|))</w:t>
      </w:r>
      <w:r>
        <w:rPr>
          <w:rFonts w:ascii="Cambria Math" w:eastAsia="SimSun" w:hAnsi="Cambria Math"/>
          <w:sz w:val="21"/>
          <w:szCs w:val="21"/>
        </w:rPr>
        <w:t xml:space="preserve">	(12)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聚合方式受一条硬约束限制。对固定的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逐节点计数可得四条求和规则，例如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f≠ e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v∈ T(e)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)-1),  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f≠ e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HT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v∈ H(e)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sz w:val="21"/>
          <w:szCs w:val="21"/>
        </w:rPr>
        <w:t xml:space="preserve">	(13)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其余两式同理。右端只依赖度序列，因此</w:t>
      </w:r>
      <w:r>
        <w:rPr>
          <w:rFonts w:ascii="Times New Roman" w:cs="Times New Roman" w:eastAsia="SimSun" w:hAnsi="Times New Roman"/>
          <w:b/>
          <w:bCs/>
        </w:rPr>
        <w:t xml:space="preserve">在保度约束下四个通道的重叠总量是常数</w:t>
      </w:r>
      <w:r>
        <w:rPr>
          <w:rFonts w:ascii="Times New Roman" w:cs="Times New Roman" w:eastAsia="SimSun" w:hAnsi="Times New Roman"/>
        </w:rPr>
        <w:t xml:space="preserve">；同质阶数下 (12) 的分母逐通道为常数，故无条件平均 </w:t>
      </w:r>
      <w:r>
        <w:rPr>
          <w:rFonts w:ascii="Cambria Math" w:eastAsia="SimSun" w:hAnsi="Cambria Math"/>
          <w:i w:val="false"/>
          <w:iCs w:val="false"/>
        </w:rPr>
        <w:t xml:space="preserve">⟨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同样被度序列锁死，无法作为可调参数。可变的是重叠的堆积方式——是让少数超边对深度共享，还是让共享摊薄到大量超边对上。据此定义条件平均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σσ'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=⟨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|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)≥1,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σ(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)=σ,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σ(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)=σ'  ⟩</w:t>
      </w:r>
      <w:r>
        <w:rPr>
          <w:rFonts w:ascii="Cambria Math" w:eastAsia="SimSun" w:hAnsi="Cambria Math"/>
          <w:sz w:val="21"/>
          <w:szCs w:val="21"/>
        </w:rPr>
        <w:t xml:space="preserve">	(14)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即在确实发生重叠的超边对上取平均，其中 </w:t>
      </w:r>
      <w:r>
        <w:rPr>
          <w:rFonts w:ascii="Cambria Math" w:eastAsia="SimSun" w:hAnsi="Cambria Math"/>
          <w:i w:val="false"/>
          <w:iCs w:val="false"/>
        </w:rPr>
        <w:t xml:space="preserve">σ(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)=(|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)|,|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)|)</w:t>
      </w:r>
      <w:r>
        <w:rPr>
          <w:rFonts w:ascii="Times New Roman" w:cs="Times New Roman" w:eastAsia="SimSun" w:hAnsi="Times New Roman"/>
        </w:rPr>
        <w:t xml:space="preserve"> 为超边的阶；该通道无重叠时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ab</w:t>
      </w:r>
      <w:r>
        <w:rPr>
          <w:rFonts w:ascii="Times New Roman" w:cs="Times New Roman" w:eastAsia="SimSun" w:hAnsi="Times New Roman"/>
        </w:rPr>
        <w:t xml:space="preserve"> 不定义。记 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 为该通道中发生重叠的超边对数，则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ab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</w:rPr>
        <w:t xml:space="preserve">/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，常数 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 仅由度序列决定。因此调节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 等价于调节 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，这决定了第 V 节重连算法的实现方式。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式 (14) 中阶指标取对角块（</w:t>
      </w:r>
      <w:r>
        <w:rPr>
          <w:rFonts w:ascii="Cambria Math" w:eastAsia="SimSun" w:hAnsi="Cambria Math"/>
          <w:i w:val="false"/>
          <w:iCs w:val="false"/>
        </w:rPr>
        <w:t xml:space="preserve">σ=σ'</w:t>
      </w:r>
      <w:r>
        <w:rPr>
          <w:rFonts w:ascii="Times New Roman" w:cs="Times New Roman" w:eastAsia="SimSun" w:hAnsi="Times New Roman"/>
        </w:rPr>
        <w:t xml:space="preserve">）即阶内重叠、取非对角块即阶间重叠，与无向情形下超边重叠矩阵的对角/非对角划分一致 [28]；本文只是在其每个矩阵元上再展开出四个方向通道。同质阶数下阶指标退化，以下略去并简记为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ab</w:t>
      </w:r>
      <w:r>
        <w:rPr>
          <w:rFonts w:ascii="Times New Roman" w:cs="Times New Roman" w:eastAsia="SimSun" w:hAnsi="Times New Roman"/>
        </w:rPr>
        <w:t xml:space="preserve">；第 VII 节的真实数据阶数异质，届时阶指标重新生效。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互惠方向不由上述张量刻画。两条超边是否互相指回，取决于一组超边能否共同完成反向覆盖，这是超边级而非超边对级的判据。本文直接采用已有的强互惠定义 [34]：若存在一组超边，其尾集之并覆盖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且头集之并覆盖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，则称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被强互惠；取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⇄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=(|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{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∈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: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被强互惠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}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|)/(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sz w:val="21"/>
          <w:szCs w:val="21"/>
        </w:rPr>
        <w:t xml:space="preserve">	(15)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采用这一定义是为了与已有测量口径一致，便于第 VII 节与真实数据的报告值并列。需要注意它与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ab</w:t>
      </w:r>
      <w:r>
        <w:rPr>
          <w:rFonts w:ascii="Times New Roman" w:cs="Times New Roman" w:eastAsia="SimSun" w:hAnsi="Times New Roman"/>
        </w:rPr>
        <w:t xml:space="preserve"> 不同类：退化关系 (11) 对它不成立，它也不进入第 IV 节转移算子的权重。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D. 方向翻转与宇称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定义全局方向翻转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为对所有超边交换尾集与头集，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: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⟼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</w:t>
      </w:r>
      <w:r>
        <w:rPr>
          <w:rFonts w:ascii="Cambria Math" w:eastAsia="SimSun" w:hAnsi="Cambria Math"/>
          <w:sz w:val="21"/>
          <w:szCs w:val="21"/>
        </w:rPr>
        <w:t xml:space="preserve">	(16)</w:t>
      </w:r>
    </w:p>
    <w:p>
      <w:pPr>
        <w:spacing w:after="120" w:before="120" w:line="320"/>
        <w:jc w:val="both"/>
      </w:pP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是有向超图空间上的对合（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2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id</w:t>
      </w:r>
      <w:r>
        <w:rPr>
          <w:rFonts w:ascii="Times New Roman" w:cs="Times New Roman" w:eastAsia="SimSun" w:hAnsi="Times New Roman"/>
        </w:rPr>
        <w:t xml:space="preserve">）。它把每个节点的入度与出度互换，把 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η</w:t>
      </w:r>
      <w:r>
        <w:rPr>
          <w:rFonts w:ascii="Times New Roman" w:cs="Times New Roman" w:eastAsia="SimSun" w:hAnsi="Times New Roman"/>
        </w:rPr>
        <w:t xml:space="preserve"> 互换，并在四个重叠通道上作用为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:  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TT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↔α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HH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HT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↔α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TH</w:t>
      </w:r>
      <w:r>
        <w:rPr>
          <w:rFonts w:ascii="Cambria Math" w:eastAsia="SimSun" w:hAnsi="Cambria Math"/>
          <w:sz w:val="21"/>
          <w:szCs w:val="21"/>
        </w:rPr>
        <w:t xml:space="preserve">	(17)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两个串联通道并不独立。对有序超边对恒有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TH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Cambria Math" w:eastAsia="SimSun" w:hAnsi="Cambria Math"/>
          <w:i w:val="false"/>
          <w:iCs w:val="false"/>
        </w:rPr>
        <w:t xml:space="preserve">)=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HT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，故同质阶数下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HT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TH</w:t>
      </w:r>
      <w:r>
        <w:rPr>
          <w:rFonts w:ascii="Times New Roman" w:cs="Times New Roman" w:eastAsia="SimSun" w:hAnsi="Times New Roman"/>
        </w:rPr>
        <w:t xml:space="preserve"> 逐实现相等（异质阶数下互为阶指标的转置），串联方向只携带一个分量，记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⇉</w:t>
      </w:r>
      <w:r>
        <w:rPr>
          <w:rFonts w:ascii="Cambria Math" w:eastAsia="SimSun" w:hAnsi="Cambria Math"/>
          <w:i w:val="false"/>
          <w:iCs w:val="false"/>
        </w:rPr>
        <w:t xml:space="preserve">=α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HT</w:t>
      </w:r>
      <w:r>
        <w:rPr>
          <w:rFonts w:ascii="Times New Roman" w:cs="Times New Roman" w:eastAsia="SimSun" w:hAnsi="Times New Roman"/>
        </w:rPr>
        <w:t xml:space="preserve">。四个通道在聚合层面因而只有三个独立分量。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按宇称重组：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⇉</w:t>
      </w:r>
      <w:r>
        <w:rPr>
          <w:rFonts w:ascii="Times New Roman" w:cs="Times New Roman" w:eastAsia="SimSun" w:hAnsi="Times New Roman"/>
        </w:rPr>
        <w:t xml:space="preserve"> 与并联重叠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∥</w:t>
      </w:r>
      <w:r>
        <w:rPr>
          <w:rFonts w:ascii="Cambria Math" w:eastAsia="SimSun" w:hAnsi="Cambria Math"/>
          <w:i w:val="false"/>
          <w:iCs w:val="false"/>
        </w:rPr>
        <w:t xml:space="preserve">=1/2(α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TT</w:t>
      </w:r>
      <w:r>
        <w:rPr>
          <w:rFonts w:ascii="Cambria Math" w:eastAsia="SimSun" w:hAnsi="Cambria Math"/>
          <w:i w:val="false"/>
          <w:iCs w:val="false"/>
        </w:rPr>
        <w:t xml:space="preserve">+α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HH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在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下为偶，而极性失衡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Δα=1/2(α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TT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HH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sz w:val="21"/>
          <w:szCs w:val="21"/>
        </w:rPr>
        <w:t xml:space="preserve">	(18)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为奇。跨结构比较（如阈值对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⇉</w:t>
      </w:r>
      <w:r>
        <w:rPr>
          <w:rFonts w:ascii="Times New Roman" w:cs="Times New Roman" w:eastAsia="SimSun" w:hAnsi="Times New Roman"/>
        </w:rPr>
        <w:t xml:space="preserve"> 的依赖）必须固定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∥</w:t>
      </w:r>
      <w:r>
        <w:rPr>
          <w:rFonts w:ascii="Times New Roman" w:cs="Times New Roman" w:eastAsia="SimSun" w:hAnsi="Times New Roman"/>
        </w:rPr>
        <w:t xml:space="preserve">，否则三个分量的效应混在同一条扫描线上；但成对的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–</w:t>
      </w:r>
      <w:r>
        <w:rPr>
          <w:rFonts w:ascii="Cambria Math" w:eastAsia="SimSun" w:hAnsi="Cambria Math"/>
          <w:i/>
          <w:iCs/>
        </w:rPr>
        <w:t xml:space="preserve">RH</w:t>
      </w:r>
      <w:r>
        <w:rPr>
          <w:rFonts w:ascii="Times New Roman" w:cs="Times New Roman" w:eastAsia="SimSun" w:hAnsi="Times New Roman"/>
        </w:rPr>
        <w:t xml:space="preserve"> 比较不受此限，因为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∥</w:t>
      </w:r>
      <w:r>
        <w:rPr>
          <w:rFonts w:ascii="Times New Roman" w:cs="Times New Roman" w:eastAsia="SimSun" w:hAnsi="Times New Roman"/>
        </w:rPr>
        <w:t xml:space="preserve"> 为偶，翻转前后取值相同，无法伪造配对差异。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入出度相关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在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下为</w:t>
      </w:r>
      <w:r>
        <w:rPr>
          <w:rFonts w:ascii="Times New Roman" w:cs="Times New Roman" w:eastAsia="SimSun" w:hAnsi="Times New Roman"/>
          <w:b/>
          <w:bCs/>
        </w:rPr>
        <w:t xml:space="preserve">偶</w:t>
      </w:r>
      <w:r>
        <w:rPr>
          <w:rFonts w:ascii="Times New Roman" w:cs="Times New Roman" w:eastAsia="SimSun" w:hAnsi="Times New Roman"/>
        </w:rPr>
        <w:t xml:space="preserve">：翻转互换每个节点的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，而 (4) 的 Pearson 相关系数对其两个变量对称，故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RH</w:t>
      </w:r>
      <w:r>
        <w:rPr>
          <w:rFonts w:ascii="Cambria Math" w:eastAsia="SimSun" w:hAnsi="Cambria Math"/>
          <w:i w:val="false"/>
          <w:iCs w:val="false"/>
        </w:rPr>
        <w:t xml:space="preserve">)=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据此可把结构量按宇称分类。本文所用结构量中，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-奇的来源有两个且相互独立：双度序列 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Times New Roman" w:cs="Times New Roman" w:eastAsia="SimSun" w:hAnsi="Times New Roman"/>
        </w:rPr>
        <w:t xml:space="preserve"> 关于分量互换的不对称性，以及极性失衡 </w:t>
      </w:r>
      <w:r>
        <w:rPr>
          <w:rFonts w:ascii="Cambria Math" w:eastAsia="SimSun" w:hAnsi="Cambria Math"/>
          <w:i w:val="false"/>
          <w:iCs w:val="false"/>
        </w:rPr>
        <w:t xml:space="preserve">Δα</w:t>
      </w:r>
      <w:r>
        <w:rPr>
          <w:rFonts w:ascii="Times New Roman" w:cs="Times New Roman" w:eastAsia="SimSun" w:hAnsi="Times New Roman"/>
        </w:rPr>
        <w:t xml:space="preserve">。尾头基数之差 </w:t>
      </w:r>
      <w:r>
        <w:rPr>
          <w:rFonts w:ascii="Cambria Math" w:eastAsia="SimSun" w:hAnsi="Cambria Math"/>
          <w:i w:val="false"/>
          <w:iCs w:val="false"/>
        </w:rPr>
        <w:t xml:space="preserve">τ-η</w:t>
      </w:r>
      <w:r>
        <w:rPr>
          <w:rFonts w:ascii="Times New Roman" w:cs="Times New Roman" w:eastAsia="SimSun" w:hAnsi="Times New Roman"/>
        </w:rPr>
        <w:t xml:space="preserve"> 不是第三个独立来源——由 (3)，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Times New Roman" w:cs="Times New Roman" w:eastAsia="SimSun" w:hAnsi="Times New Roman"/>
        </w:rPr>
        <w:t xml:space="preserve"> 互换对称蕴含 </w:t>
      </w:r>
      <w:r>
        <w:rPr>
          <w:rFonts w:ascii="Cambria Math" w:eastAsia="SimSun" w:hAnsi="Cambria Math"/>
          <w:i w:val="false"/>
          <w:iCs w:val="false"/>
        </w:rPr>
        <w:t xml:space="preserve">τ=η</w:t>
      </w:r>
      <w:r>
        <w:rPr>
          <w:rFonts w:ascii="Times New Roman" w:cs="Times New Roman" w:eastAsia="SimSun" w:hAnsi="Times New Roman"/>
        </w:rPr>
        <w:t xml:space="preserve">，故 </w:t>
      </w:r>
      <w:r>
        <w:rPr>
          <w:rFonts w:ascii="Cambria Math" w:eastAsia="SimSun" w:hAnsi="Cambria Math"/>
          <w:i w:val="false"/>
          <w:iCs w:val="false"/>
        </w:rPr>
        <w:t xml:space="preserve">τ≠η</w:t>
      </w:r>
      <w:r>
        <w:rPr>
          <w:rFonts w:ascii="Times New Roman" w:cs="Times New Roman" w:eastAsia="SimSun" w:hAnsi="Times New Roman"/>
        </w:rPr>
        <w:t xml:space="preserve"> 只是序列不对称的一个充分标志；反之序列不对称时 </w:t>
      </w:r>
      <w:r>
        <w:rPr>
          <w:rFonts w:ascii="Cambria Math" w:eastAsia="SimSun" w:hAnsi="Cambria Math"/>
          <w:i w:val="false"/>
          <w:iCs w:val="false"/>
        </w:rPr>
        <w:t xml:space="preserve">τ=η</w:t>
      </w:r>
      <w:r>
        <w:rPr>
          <w:rFonts w:ascii="Times New Roman" w:cs="Times New Roman" w:eastAsia="SimSun" w:hAnsi="Times New Roman"/>
        </w:rPr>
        <w:t xml:space="preserve"> 仍可成立。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这一分类对终态有直接约束。设结构系综 </w:t>
      </w:r>
      <w:r>
        <w:rPr>
          <w:rFonts w:ascii="Cambria Math" w:eastAsia="SimSun" w:hAnsi="Cambria Math"/>
          <w:i w:val="false"/>
          <w:iCs w:val="false"/>
        </w:rPr>
        <w:t xml:space="preserve">ℙ[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</w:t>
      </w:r>
      <w:r>
        <w:rPr>
          <w:rFonts w:ascii="Times New Roman" w:cs="Times New Roman" w:eastAsia="SimSun" w:hAnsi="Times New Roman"/>
        </w:rPr>
        <w:t xml:space="preserve"> 生成随机有向超图，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</w:t>
      </w:r>
      <w:r>
        <w:rPr>
          <w:rFonts w:ascii="Times New Roman" w:cs="Times New Roman" w:eastAsia="SimSun" w:hAnsi="Times New Roman"/>
        </w:rPr>
        <w:t xml:space="preserve"> 为 II.B 定义的条件期望爆发规模；由于种子均匀选取，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Times New Roman" w:cs="Times New Roman" w:eastAsia="SimSun" w:hAnsi="Times New Roman"/>
        </w:rPr>
        <w:t xml:space="preserve"> 的定义本身不引入方向偏好。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b/>
          <w:bCs/>
          <w:color w:val="3A4A5A"/>
        </w:rPr>
        <w:t xml:space="preserve">命题 1.</w:t>
      </w:r>
      <w:r>
        <w:rPr>
          <w:rFonts w:ascii="Times New Roman" w:cs="Times New Roman" w:eastAsia="SimSun" w:hAnsi="Times New Roman"/>
          <w:color w:val="3A4A5A"/>
        </w:rPr>
        <w:t xml:space="preserve"> 若 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ℙ</w:t>
      </w:r>
      <w:r>
        <w:rPr>
          <w:rFonts w:ascii="Times New Roman" w:cs="Times New Roman" w:eastAsia="SimSun" w:hAnsi="Times New Roman"/>
          <w:color w:val="3A4A5A"/>
        </w:rPr>
        <w:t xml:space="preserve"> 在 </w:t>
      </w:r>
      <w:r>
        <w:rPr>
          <w:rFonts w:ascii="Cambria Math" w:eastAsia="SimSun" w:hAnsi="Cambria Math"/>
          <w:i/>
          <w:iCs/>
          <w:color w:val="3A4A5A"/>
        </w:rPr>
        <w:t xml:space="preserve">R</w:t>
      </w:r>
      <w:r>
        <w:rPr>
          <w:rFonts w:ascii="Times New Roman" w:cs="Times New Roman" w:eastAsia="SimSun" w:hAnsi="Times New Roman"/>
          <w:color w:val="3A4A5A"/>
        </w:rPr>
        <w:t xml:space="preserve"> 下不变，即 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ℙ[</w:t>
      </w:r>
      <w:r>
        <w:rPr>
          <w:rFonts w:ascii="Cambria Math" w:eastAsia="SimSun" w:hAnsi="Cambria Math"/>
          <w:i/>
          <w:iCs/>
          <w:color w:val="3A4A5A"/>
        </w:rPr>
        <w:t xml:space="preserve">RH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]=ℙ[</w:t>
      </w:r>
      <w:r>
        <w:rPr>
          <w:rFonts w:ascii="Cambria Math" w:eastAsia="SimSun" w:hAnsi="Cambria Math"/>
          <w:i/>
          <w:iCs/>
          <w:color w:val="3A4A5A"/>
        </w:rPr>
        <w:t xml:space="preserve">H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]</w:t>
      </w:r>
      <w:r>
        <w:rPr>
          <w:rFonts w:ascii="Times New Roman" w:cs="Times New Roman" w:eastAsia="SimSun" w:hAnsi="Times New Roman"/>
          <w:color w:val="3A4A5A"/>
        </w:rPr>
        <w:t xml:space="preserve"> 对所有 </w:t>
      </w:r>
      <w:r>
        <w:rPr>
          <w:rFonts w:ascii="Cambria Math" w:eastAsia="SimSun" w:hAnsi="Cambria Math"/>
          <w:i/>
          <w:iCs/>
          <w:color w:val="3A4A5A"/>
        </w:rPr>
        <w:t xml:space="preserve">H</w:t>
      </w:r>
      <w:r>
        <w:rPr>
          <w:rFonts w:ascii="Times New Roman" w:cs="Times New Roman" w:eastAsia="SimSun" w:hAnsi="Times New Roman"/>
          <w:color w:val="3A4A5A"/>
        </w:rPr>
        <w:t xml:space="preserve"> 成立，则 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⟨ </w:t>
      </w:r>
      <w:r>
        <w:rPr>
          <w:rFonts w:ascii="Cambria Math" w:eastAsia="SimSun" w:hAnsi="Cambria Math"/>
          <w:i/>
          <w:iCs/>
          <w:color w:val="3A4A5A"/>
        </w:rPr>
        <w:t xml:space="preserve">S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⟩</w:t>
      </w:r>
      <w:r>
        <w:rPr>
          <w:rFonts w:ascii="Cambria Math" w:eastAsia="SimSun" w:hAnsi="Cambria Math"/>
          <w:i w:val="false"/>
          <w:iCs w:val="false"/>
          <w:color w:val="3A4A5A"/>
          <w:vertAlign w:val="subscript"/>
        </w:rPr>
        <w:t xml:space="preserve">ℙ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=⟨ </w:t>
      </w:r>
      <w:r>
        <w:rPr>
          <w:rFonts w:ascii="Cambria Math" w:eastAsia="SimSun" w:hAnsi="Cambria Math"/>
          <w:i/>
          <w:iCs/>
          <w:color w:val="3A4A5A"/>
        </w:rPr>
        <w:t xml:space="preserve">S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∘</w:t>
      </w:r>
      <w:r>
        <w:rPr>
          <w:rFonts w:ascii="Cambria Math" w:eastAsia="SimSun" w:hAnsi="Cambria Math"/>
          <w:i/>
          <w:iCs/>
          <w:color w:val="3A4A5A"/>
        </w:rPr>
        <w:t xml:space="preserve">R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⟩</w:t>
      </w:r>
      <w:r>
        <w:rPr>
          <w:rFonts w:ascii="Cambria Math" w:eastAsia="SimSun" w:hAnsi="Cambria Math"/>
          <w:i w:val="false"/>
          <w:iCs w:val="false"/>
          <w:color w:val="3A4A5A"/>
          <w:vertAlign w:val="subscript"/>
        </w:rPr>
        <w:t xml:space="preserve">ℙ</w:t>
      </w:r>
      <w:r>
        <w:rPr>
          <w:rFonts w:ascii="Times New Roman" w:cs="Times New Roman" w:eastAsia="SimSun" w:hAnsi="Times New Roman"/>
          <w:color w:val="3A4A5A"/>
        </w:rPr>
        <w:t xml:space="preserve">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证明只需一次换元：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是结构空间上的可测对合，故 </w:t>
      </w:r>
      <w:r>
        <w:rPr>
          <w:rFonts w:ascii="Cambria Math" w:eastAsia="SimSun" w:hAnsi="Cambria Math"/>
          <w:i w:val="false"/>
          <w:iCs w:val="false"/>
        </w:rPr>
        <w:t xml:space="preserve">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ℙ[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RH</w:t>
      </w:r>
      <w:r>
        <w:rPr>
          <w:rFonts w:ascii="Cambria Math" w:eastAsia="SimSun" w:hAnsi="Cambria Math"/>
          <w:i w:val="false"/>
          <w:iCs w:val="false"/>
        </w:rPr>
        <w:t xml:space="preserve">]=Σ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ℙ[</w:t>
      </w:r>
      <w:r>
        <w:rPr>
          <w:rFonts w:ascii="Cambria Math" w:eastAsia="SimSun" w:hAnsi="Cambria Math"/>
          <w:i/>
          <w:iCs/>
        </w:rPr>
        <w:t xml:space="preserve">RH</w:t>
      </w:r>
      <w:r>
        <w:rPr>
          <w:rFonts w:ascii="Cambria Math" w:eastAsia="SimSun" w:hAnsi="Cambria Math"/>
          <w:i w:val="false"/>
          <w:iCs w:val="false"/>
        </w:rPr>
        <w:t xml:space="preserve">]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]=Σ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ℙ[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命题 1 的逆否形式给出方向对称性破缺的必要条件：</w:t>
      </w:r>
      <w:r>
        <w:rPr>
          <w:rFonts w:ascii="Times New Roman" w:cs="Times New Roman" w:eastAsia="SimSun" w:hAnsi="Times New Roman"/>
          <w:b/>
          <w:bCs/>
        </w:rPr>
        <w:t xml:space="preserve">系综层面的破缺要求生成系综本身破坏 </w:t>
      </w:r>
      <w:r>
        <w:rPr>
          <w:rFonts w:ascii="Cambria Math" w:eastAsia="SimSun" w:hAnsi="Cambria Math"/>
          <w:b/>
          <w:bCs/>
          <w:i/>
          <w:iCs/>
        </w:rPr>
        <w:t xml:space="preserve">R</w:t>
      </w:r>
      <w:r>
        <w:rPr>
          <w:rFonts w:ascii="Times New Roman" w:cs="Times New Roman" w:eastAsia="SimSun" w:hAnsi="Times New Roman"/>
          <w:b/>
          <w:bCs/>
        </w:rPr>
        <w:t xml:space="preserve">-不变性</w:t>
      </w:r>
      <w:r>
        <w:rPr>
          <w:rFonts w:ascii="Times New Roman" w:cs="Times New Roman" w:eastAsia="SimSun" w:hAnsi="Times New Roman"/>
        </w:rPr>
        <w:t xml:space="preserve">。在本文所用结构量中，能承载这一破坏的只有上述两个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-奇的来源。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但即便必要条件被满足，破缺也未必能在 </w:t>
      </w:r>
      <w:r>
        <w:rPr>
          <w:rFonts w:ascii="Cambria Math" w:eastAsia="SimSun" w:hAnsi="Cambria Math"/>
          <w:i w:val="false"/>
          <w:iCs w:val="false"/>
        </w:rPr>
        <w:t xml:space="preserve">⟨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上看到。存在一条更强的不变性，它与系综是否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-不变无关：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b/>
          <w:bCs/>
          <w:color w:val="3A4A5A"/>
        </w:rPr>
        <w:t xml:space="preserve">命题 2.</w:t>
      </w:r>
      <w:r>
        <w:rPr>
          <w:rFonts w:ascii="Times New Roman" w:cs="Times New Roman" w:eastAsia="SimSun" w:hAnsi="Times New Roman"/>
          <w:color w:val="3A4A5A"/>
        </w:rPr>
        <w:t xml:space="preserve"> 设 (i) 终态可表示为某个随机结构 </w:t>
      </w:r>
      <w:r>
        <w:rPr>
          <w:rFonts w:ascii="Cambria Math" w:eastAsia="SimSun" w:hAnsi="Cambria Math"/>
          <w:i/>
          <w:iCs/>
          <w:color w:val="3A4A5A"/>
        </w:rPr>
        <w:t xml:space="preserve">G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(</w:t>
      </w:r>
      <w:r>
        <w:rPr>
          <w:rFonts w:ascii="Cambria Math" w:eastAsia="SimSun" w:hAnsi="Cambria Math"/>
          <w:i/>
          <w:iCs/>
          <w:color w:val="3A4A5A"/>
        </w:rPr>
        <w:t xml:space="preserve">H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)</w:t>
      </w:r>
      <w:r>
        <w:rPr>
          <w:rFonts w:ascii="Times New Roman" w:cs="Times New Roman" w:eastAsia="SimSun" w:hAnsi="Times New Roman"/>
          <w:color w:val="3A4A5A"/>
        </w:rPr>
        <w:t xml:space="preserve"> 上的可达性，即从种子 </w:t>
      </w:r>
      <w:r>
        <w:rPr>
          <w:rFonts w:ascii="Cambria Math" w:eastAsia="SimSun" w:hAnsi="Cambria Math"/>
          <w:i/>
          <w:iCs/>
          <w:color w:val="3A4A5A"/>
        </w:rPr>
        <w:t xml:space="preserve">v</w:t>
      </w:r>
      <w:r>
        <w:rPr>
          <w:rFonts w:ascii="Times New Roman" w:cs="Times New Roman" w:eastAsia="SimSun" w:hAnsi="Times New Roman"/>
          <w:color w:val="3A4A5A"/>
        </w:rPr>
        <w:t xml:space="preserve"> 出发的最终感染集为 </w:t>
      </w:r>
      <w:r>
        <w:rPr>
          <w:rFonts w:ascii="Cambria Math" w:eastAsia="SimSun" w:hAnsi="Cambria Math"/>
          <w:i/>
          <w:iCs/>
          <w:color w:val="3A4A5A"/>
        </w:rPr>
        <w:t xml:space="preserve">v</w:t>
      </w:r>
      <w:r>
        <w:rPr>
          <w:rFonts w:ascii="Times New Roman" w:cs="Times New Roman" w:eastAsia="SimSun" w:hAnsi="Times New Roman"/>
          <w:color w:val="3A4A5A"/>
        </w:rPr>
        <w:t xml:space="preserve"> 在 </w:t>
      </w:r>
      <w:r>
        <w:rPr>
          <w:rFonts w:ascii="Cambria Math" w:eastAsia="SimSun" w:hAnsi="Cambria Math"/>
          <w:i/>
          <w:iCs/>
          <w:color w:val="3A4A5A"/>
        </w:rPr>
        <w:t xml:space="preserve">G</w:t>
      </w:r>
      <w:r>
        <w:rPr>
          <w:rFonts w:ascii="Times New Roman" w:cs="Times New Roman" w:eastAsia="SimSun" w:hAnsi="Times New Roman"/>
          <w:color w:val="3A4A5A"/>
        </w:rPr>
        <w:t xml:space="preserve"> 中的出分支 </w:t>
      </w:r>
      <w:r>
        <w:rPr>
          <w:rFonts w:ascii="Cambria Math" w:eastAsia="SimSun" w:hAnsi="Cambria Math"/>
          <w:i/>
          <w:iCs/>
          <w:color w:val="3A4A5A"/>
        </w:rPr>
        <w:t xml:space="preserve">out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(</w:t>
      </w:r>
      <w:r>
        <w:rPr>
          <w:rFonts w:ascii="Cambria Math" w:eastAsia="SimSun" w:hAnsi="Cambria Math"/>
          <w:i/>
          <w:iCs/>
          <w:color w:val="3A4A5A"/>
        </w:rPr>
        <w:t xml:space="preserve">v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)</w:t>
      </w:r>
      <w:r>
        <w:rPr>
          <w:rFonts w:ascii="Times New Roman" w:cs="Times New Roman" w:eastAsia="SimSun" w:hAnsi="Times New Roman"/>
          <w:color w:val="3A4A5A"/>
        </w:rPr>
        <w:t xml:space="preserve">，如 [5] 的半有向流行渗流网络所给出；且 (ii) </w:t>
      </w:r>
      <w:r>
        <w:rPr>
          <w:rFonts w:ascii="Cambria Math" w:eastAsia="SimSun" w:hAnsi="Cambria Math"/>
          <w:i/>
          <w:iCs/>
          <w:color w:val="3A4A5A"/>
        </w:rPr>
        <w:t xml:space="preserve">G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(</w:t>
      </w:r>
      <w:r>
        <w:rPr>
          <w:rFonts w:ascii="Cambria Math" w:eastAsia="SimSun" w:hAnsi="Cambria Math"/>
          <w:i/>
          <w:iCs/>
          <w:color w:val="3A4A5A"/>
        </w:rPr>
        <w:t xml:space="preserve">RH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)</w:t>
      </w:r>
      <w:r>
        <w:rPr>
          <w:rFonts w:ascii="Times New Roman" w:cs="Times New Roman" w:eastAsia="SimSun" w:hAnsi="Times New Roman"/>
          <w:color w:val="3A4A5A"/>
        </w:rPr>
        <w:t xml:space="preserve"> 与 </w:t>
      </w:r>
      <w:r>
        <w:rPr>
          <w:rFonts w:ascii="Cambria Math" w:eastAsia="SimSun" w:hAnsi="Cambria Math"/>
          <w:i/>
          <w:iCs/>
          <w:color w:val="3A4A5A"/>
        </w:rPr>
        <w:t xml:space="preserve">G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(</w:t>
      </w:r>
      <w:r>
        <w:rPr>
          <w:rFonts w:ascii="Cambria Math" w:eastAsia="SimSun" w:hAnsi="Cambria Math"/>
          <w:i/>
          <w:iCs/>
          <w:color w:val="3A4A5A"/>
        </w:rPr>
        <w:t xml:space="preserve">H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)</w:t>
      </w:r>
      <w:r>
        <w:rPr>
          <w:rFonts w:ascii="Times New Roman" w:cs="Times New Roman" w:eastAsia="SimSun" w:hAnsi="Times New Roman"/>
          <w:color w:val="3A4A5A"/>
        </w:rPr>
        <w:t xml:space="preserve"> 的转置同分布。则对</w:t>
      </w:r>
      <w:r>
        <w:rPr>
          <w:rFonts w:ascii="Times New Roman" w:cs="Times New Roman" w:eastAsia="SimSun" w:hAnsi="Times New Roman"/>
          <w:b/>
          <w:bCs/>
          <w:color w:val="3A4A5A"/>
        </w:rPr>
        <w:t xml:space="preserve">任意</w:t>
      </w:r>
      <w:r>
        <w:rPr>
          <w:rFonts w:ascii="Times New Roman" w:cs="Times New Roman" w:eastAsia="SimSun" w:hAnsi="Times New Roman"/>
          <w:color w:val="3A4A5A"/>
        </w:rPr>
        <w:t xml:space="preserve">有向超图 </w:t>
      </w:r>
      <w:r>
        <w:rPr>
          <w:rFonts w:ascii="Cambria Math" w:eastAsia="SimSun" w:hAnsi="Cambria Math"/>
          <w:i/>
          <w:iCs/>
          <w:color w:val="3A4A5A"/>
        </w:rPr>
        <w:t xml:space="preserve">H</w:t>
      </w:r>
      <w:r>
        <w:rPr>
          <w:rFonts w:ascii="Times New Roman" w:cs="Times New Roman" w:eastAsia="SimSun" w:hAnsi="Times New Roman"/>
          <w:color w:val="3A4A5A"/>
        </w:rPr>
        <w:t xml:space="preserve">，均匀单种子下的平均爆发规模在方向翻转下不变。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证明只需一次计数：</w:t>
      </w:r>
      <w:r>
        <w:rPr>
          <w:rFonts w:ascii="Cambria Math" w:eastAsia="SimSun" w:hAnsi="Cambria Math"/>
          <w:i w:val="false"/>
          <w:iCs w:val="false"/>
        </w:rPr>
        <w:t xml:space="preserve">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Cambria Math" w:eastAsia="SimSun" w:hAnsi="Cambria Math"/>
          <w:i/>
          <w:iCs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)|=#</w:t>
      </w:r>
      <w:r>
        <w:rPr>
          <w:rFonts w:ascii="Cambria Math" w:eastAsia="SimSun" w:hAnsi="Cambria Math"/>
          <w:i w:val="false"/>
          <w:iCs w:val="false"/>
        </w:rPr>
        <w:t xml:space="preserve">{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Cambria Math" w:eastAsia="SimSun" w:hAnsi="Cambria Math"/>
          <w:i w:val="false"/>
          <w:iCs w:val="false"/>
        </w:rPr>
        <w:t xml:space="preserve">):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Cambria Math" w:eastAsia="SimSun" w:hAnsi="Cambria Math"/>
          <w:i w:val="false"/>
          <w:iCs w:val="false"/>
        </w:rPr>
        <w:t xml:space="preserve"> 自</w:t>
      </w:r>
      <w:r>
        <w:rPr>
          <w:rFonts w:ascii="Cambria Math" w:eastAsia="SimSun" w:hAnsi="Cambria Math"/>
          <w:i w:val="false"/>
          <w:iCs w:val="false"/>
        </w:rPr>
        <w:t xml:space="preserve">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 可达</w:t>
      </w:r>
      <w:r>
        <w:rPr>
          <w:rFonts w:ascii="Cambria Math" w:eastAsia="SimSun" w:hAnsi="Cambria Math"/>
          <w:i w:val="false"/>
          <w:iCs w:val="false"/>
        </w:rPr>
        <w:t xml:space="preserve">}</w:t>
      </w:r>
      <w:r>
        <w:rPr>
          <w:rFonts w:ascii="Cambria Math" w:eastAsia="SimSun" w:hAnsi="Cambria Math"/>
          <w:i w:val="false"/>
          <w:iCs w:val="false"/>
        </w:rPr>
        <w:t xml:space="preserve">=Σ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Cambria Math" w:eastAsia="SimSun" w:hAnsi="Cambria Math"/>
          <w:i/>
          <w:iCs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)|</w:t>
      </w:r>
      <w:r>
        <w:rPr>
          <w:rFonts w:ascii="Times New Roman" w:cs="Times New Roman" w:eastAsia="SimSun" w:hAnsi="Times New Roman"/>
        </w:rPr>
        <w:t xml:space="preserve">。转置把每个可达有序对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换成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，可达对的</w:t>
      </w:r>
      <w:r>
        <w:rPr>
          <w:rFonts w:ascii="Times New Roman" w:cs="Times New Roman" w:eastAsia="SimSun" w:hAnsi="Times New Roman"/>
          <w:b/>
          <w:bCs/>
        </w:rPr>
        <w:t xml:space="preserve">总数</w:t>
      </w:r>
      <w:r>
        <w:rPr>
          <w:rFonts w:ascii="Times New Roman" w:cs="Times New Roman" w:eastAsia="SimSun" w:hAnsi="Times New Roman"/>
        </w:rPr>
        <w:t xml:space="preserve">因而逐实现不变；除以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2</w:t>
      </w:r>
      <w:r>
        <w:rPr>
          <w:rFonts w:ascii="Times New Roman" w:cs="Times New Roman" w:eastAsia="SimSun" w:hAnsi="Times New Roman"/>
        </w:rPr>
        <w:t xml:space="preserve"> 即得 </w:t>
      </w:r>
      <w:r>
        <w:rPr>
          <w:rFonts w:ascii="Cambria Math" w:eastAsia="SimSun" w:hAnsi="Cambria Math"/>
          <w:i w:val="false"/>
          <w:iCs w:val="false"/>
        </w:rPr>
        <w:t xml:space="preserve">⟨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不变。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假设 (ii) 值得单独说明。当传播事件对每个（尾成员，头成员）对独立发生时它平凡成立；本文的超边级激活核使各头成员共享同一激活区间，因而 (ii) 只是近似。第 VI 节的数值表明这一近似的偏离低于分辨率：即便在 </w:t>
      </w:r>
      <w:r>
        <w:rPr>
          <w:rFonts w:ascii="Cambria Math" w:eastAsia="SimSun" w:hAnsi="Cambria Math"/>
          <w:i w:val="false"/>
          <w:iCs w:val="false"/>
        </w:rPr>
        <w:t xml:space="preserve">τ=3,η=1</w:t>
      </w:r>
      <w:r>
        <w:rPr>
          <w:rFonts w:ascii="Times New Roman" w:cs="Times New Roman" w:eastAsia="SimSun" w:hAnsi="Times New Roman"/>
        </w:rPr>
        <w:t xml:space="preserve"> 这种最不对称的构型上，</w:t>
      </w:r>
      <w:r>
        <w:rPr>
          <w:rFonts w:ascii="Cambria Math" w:eastAsia="SimSun" w:hAnsi="Cambria Math"/>
          <w:i w:val="false"/>
          <w:iCs w:val="false"/>
        </w:rPr>
        <w:t xml:space="preserve">⟨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在翻转前后的差异也始终落在统计涨落内。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命题 2 的后果是：</w:t>
      </w:r>
      <w:r>
        <w:rPr>
          <w:rFonts w:ascii="Cambria Math" w:eastAsia="SimSun" w:hAnsi="Cambria Math"/>
          <w:i w:val="false"/>
          <w:iCs w:val="false"/>
        </w:rPr>
        <w:t xml:space="preserve">⟨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</w:t>
      </w:r>
      <w:r>
        <w:rPr>
          <w:rFonts w:ascii="Times New Roman" w:cs="Times New Roman" w:eastAsia="SimSun" w:hAnsi="Times New Roman"/>
          <w:b/>
          <w:bCs/>
        </w:rPr>
        <w:t xml:space="preserve">不能作为方向对称性破缺的序参量</w:t>
      </w:r>
      <w:r>
        <w:rPr>
          <w:rFonts w:ascii="Times New Roman" w:cs="Times New Roman" w:eastAsia="SimSun" w:hAnsi="Times New Roman"/>
        </w:rPr>
        <w:t xml:space="preserve">——它在任何结构上都对称，与结构有多不对称无关。破缺出现在可达对</w:t>
      </w:r>
      <w:r>
        <w:rPr>
          <w:rFonts w:ascii="Times New Roman" w:cs="Times New Roman" w:eastAsia="SimSun" w:hAnsi="Times New Roman"/>
          <w:b/>
          <w:bCs/>
        </w:rPr>
        <w:t xml:space="preserve">如何分布</w:t>
      </w:r>
      <w:r>
        <w:rPr>
          <w:rFonts w:ascii="Times New Roman" w:cs="Times New Roman" w:eastAsia="SimSun" w:hAnsi="Times New Roman"/>
        </w:rPr>
        <w:t xml:space="preserve">，而非其总数。按 [5]，大爆发的</w:t>
      </w:r>
      <w:r>
        <w:rPr>
          <w:rFonts w:ascii="Times New Roman" w:cs="Times New Roman" w:eastAsia="SimSun" w:hAnsi="Times New Roman"/>
          <w:b/>
          <w:bCs/>
        </w:rPr>
        <w:t xml:space="preserve">概率</w:t>
      </w:r>
      <w:r>
        <w:rPr>
          <w:rFonts w:ascii="Times New Roman" w:cs="Times New Roman" w:eastAsia="SimSun" w:hAnsi="Times New Roman"/>
        </w:rPr>
        <w:t xml:space="preserve">由巨入分支的相对规模决定，而爆发的</w:t>
      </w:r>
      <w:r>
        <w:rPr>
          <w:rFonts w:ascii="Times New Roman" w:cs="Times New Roman" w:eastAsia="SimSun" w:hAnsi="Times New Roman"/>
          <w:b/>
          <w:bCs/>
        </w:rPr>
        <w:t xml:space="preserve">终态规模</w:t>
      </w:r>
      <w:r>
        <w:rPr>
          <w:rFonts w:ascii="Times New Roman" w:cs="Times New Roman" w:eastAsia="SimSun" w:hAnsi="Times New Roman"/>
        </w:rPr>
        <w:t xml:space="preserve">由巨出分支决定；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恰好交换这两者。因此本文取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Π=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Pr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&gt;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̄=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[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|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&gt;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]</w:t>
      </w:r>
      <w:r>
        <w:rPr>
          <w:rFonts w:ascii="Cambria Math" w:eastAsia="SimSun" w:hAnsi="Cambria Math"/>
          <w:sz w:val="21"/>
          <w:szCs w:val="21"/>
        </w:rPr>
        <w:t xml:space="preserve">	(19)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为破缺的序参量，其中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cut</w:t>
      </w:r>
      <w:r>
        <w:rPr>
          <w:rFonts w:ascii="Times New Roman" w:cs="Times New Roman" w:eastAsia="SimSun" w:hAnsi="Times New Roman"/>
        </w:rPr>
        <w:t xml:space="preserve"> 为区分自限爆发与大爆发的阈值。由全期望公式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⟨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⟩=Π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̄+(1-Π)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&lt;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&lt;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[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|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≤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]</w:t>
      </w:r>
      <w:r>
        <w:rPr>
          <w:rFonts w:ascii="Cambria Math" w:eastAsia="SimSun" w:hAnsi="Cambria Math"/>
          <w:sz w:val="21"/>
          <w:szCs w:val="21"/>
        </w:rPr>
        <w:t xml:space="preserve">	(20)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而命题 2 把左端钉住，故右端各项的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-奇部分必须相消。这是一条可证伪的预言，第 VI 节将检验之。注意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&lt;</w:t>
      </w:r>
      <w:r>
        <w:rPr>
          <w:rFonts w:ascii="Times New Roman" w:cs="Times New Roman" w:eastAsia="SimSun" w:hAnsi="Times New Roman"/>
        </w:rPr>
        <w:t xml:space="preserve"> 在阈值邻域并不可忽略（自限爆发的规模下界为 </w:t>
      </w:r>
      <w:r>
        <w:rPr>
          <w:rFonts w:ascii="Cambria Math" w:eastAsia="SimSun" w:hAnsi="Cambria Math"/>
          <w:i w:val="false"/>
          <w:iCs w:val="false"/>
        </w:rPr>
        <w:t xml:space="preserve">1/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，其贡献与 </w:t>
      </w:r>
      <w:r>
        <w:rPr>
          <w:rFonts w:ascii="Cambria Math" w:eastAsia="SimSun" w:hAnsi="Cambria Math"/>
          <w:i w:val="false"/>
          <w:iCs w:val="false"/>
        </w:rPr>
        <w:t xml:space="preserve">⟨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同量级），因此补偿关系须按上式逐项核算，不能简化为 </w:t>
      </w:r>
      <w:r>
        <w:rPr>
          <w:rFonts w:ascii="Cambria Math" w:eastAsia="SimSun" w:hAnsi="Cambria Math"/>
          <w:i w:val="false"/>
          <w:iCs w:val="false"/>
        </w:rPr>
        <w:t xml:space="preserve">⟨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⟩≈Π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̄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/>
        <w:jc w:val="both"/>
      </w:pP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的角色由此成为一个可直接检验的推论：它不能单独产生破缺。设双度序列 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Times New Roman" w:cs="Times New Roman" w:eastAsia="SimSun" w:hAnsi="Times New Roman"/>
        </w:rPr>
        <w:t xml:space="preserve"> 关于分量互换对称，即 </w:t>
      </w:r>
      <w:r>
        <w:rPr>
          <w:rFonts w:ascii="Cambria Math" w:eastAsia="SimSun" w:hAnsi="Cambria Math"/>
          <w:i/>
          <w:iCs/>
        </w:rPr>
        <w:t xml:space="preserve">Rd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Times New Roman" w:cs="Times New Roman" w:eastAsia="SimSun" w:hAnsi="Times New Roman"/>
        </w:rPr>
        <w:t xml:space="preserve"> 至多相差一个节点重标号。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把位形模型系综 </w:t>
      </w:r>
      <w:r>
        <w:rPr>
          <w:rFonts w:ascii="Cambria Math" w:eastAsia="SimSun" w:hAnsi="Cambria Math"/>
          <w:i/>
          <w:iCs/>
        </w:rPr>
        <w:t xml:space="preserve">CM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映为 </w:t>
      </w:r>
      <w:r>
        <w:rPr>
          <w:rFonts w:ascii="Cambria Math" w:eastAsia="SimSun" w:hAnsi="Cambria Math"/>
          <w:i/>
          <w:iCs/>
        </w:rPr>
        <w:t xml:space="preserve">CM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Rd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，后者是前者在该重标号下的像；而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Times New Roman" w:cs="Times New Roman" w:eastAsia="SimSun" w:hAnsi="Times New Roman"/>
        </w:rPr>
        <w:t xml:space="preserve"> 与节点标号无关，故命题 1 的结论成立。关键在于这类对称序列可以取遍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</w:rPr>
        <w:t xml:space="preserve">∈[-1,1]</w:t>
      </w:r>
      <w:r>
        <w:rPr>
          <w:rFonts w:ascii="Times New Roman" w:cs="Times New Roman" w:eastAsia="SimSun" w:hAnsi="Times New Roman"/>
        </w:rPr>
        <w:t xml:space="preserve"> 的整个范围（例如 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Times New Roman" w:cs="Times New Roman" w:eastAsia="SimSun" w:hAnsi="Times New Roman"/>
        </w:rPr>
        <w:t xml:space="preserve"> 由若干对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组成时序列对称而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可为任意值），因此</w:t>
      </w:r>
      <w:r>
        <w:rPr>
          <w:rFonts w:ascii="Times New Roman" w:cs="Times New Roman" w:eastAsia="SimSun" w:hAnsi="Times New Roman"/>
          <w:b/>
          <w:bCs/>
        </w:rPr>
        <w:t xml:space="preserve">沿 </w:t>
      </w:r>
      <w:r>
        <w:rPr>
          <w:rFonts w:ascii="Cambria Math" w:eastAsia="SimSun" w:hAnsi="Cambria Math"/>
          <w:b/>
          <w:bCs/>
          <w:i/>
          <w:iCs/>
        </w:rPr>
        <w:t xml:space="preserve">r</w:t>
      </w:r>
      <w:r>
        <w:rPr>
          <w:rFonts w:ascii="Cambria Math" w:eastAsia="SimSun" w:hAnsi="Cambria Math"/>
          <w:b/>
          <w:bCs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  <w:b/>
          <w:bCs/>
        </w:rPr>
        <w:t xml:space="preserve"> 扫描的整条线上都不应出现破缺，尽管 </w:t>
      </w:r>
      <w:r>
        <w:rPr>
          <w:rFonts w:ascii="Cambria Math" w:eastAsia="SimSun" w:hAnsi="Cambria Math"/>
          <w:b/>
          <w:bCs/>
          <w:i/>
          <w:iCs/>
        </w:rPr>
        <w:t xml:space="preserve">r</w:t>
      </w:r>
      <w:r>
        <w:rPr>
          <w:rFonts w:ascii="Cambria Math" w:eastAsia="SimSun" w:hAnsi="Cambria Math"/>
          <w:b/>
          <w:bCs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  <w:b/>
          <w:bCs/>
        </w:rPr>
        <w:t xml:space="preserve"> 确实移动阈值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最后需要强调，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-奇是必要条件，却远非充分条件。宇称分类指出哪些量</w:t>
      </w:r>
      <w:r>
        <w:rPr>
          <w:rFonts w:ascii="Times New Roman" w:cs="Times New Roman" w:eastAsia="SimSun" w:hAnsi="Times New Roman"/>
          <w:b/>
          <w:bCs/>
        </w:rPr>
        <w:t xml:space="preserve">可能</w:t>
      </w:r>
      <w:r>
        <w:rPr>
          <w:rFonts w:ascii="Times New Roman" w:cs="Times New Roman" w:eastAsia="SimSun" w:hAnsi="Times New Roman"/>
        </w:rPr>
        <w:t xml:space="preserve">驱动破缺，不指出哪一个</w:t>
      </w:r>
      <w:r>
        <w:rPr>
          <w:rFonts w:ascii="Times New Roman" w:cs="Times New Roman" w:eastAsia="SimSun" w:hAnsi="Times New Roman"/>
          <w:b/>
          <w:bCs/>
        </w:rPr>
        <w:t xml:space="preserve">实际</w:t>
      </w:r>
      <w:r>
        <w:rPr>
          <w:rFonts w:ascii="Times New Roman" w:cs="Times New Roman" w:eastAsia="SimSun" w:hAnsi="Times New Roman"/>
        </w:rPr>
        <w:t xml:space="preserve">驱动——后者是动力学问题，分类本身无从回答。第 VI 节的结论是两个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-奇来源分野明显：分支结构的不对称（阶数与双度序列）驱动的破缺在 </w:t>
      </w:r>
      <w:r>
        <w:rPr>
          <w:rFonts w:ascii="Cambria Math" w:eastAsia="SimSun" w:hAnsi="Cambria Math"/>
          <w:i w:val="false"/>
          <w:iCs w:val="false"/>
        </w:rPr>
        <w:t xml:space="preserve">Π</w:t>
      </w:r>
      <w:r>
        <w:rPr>
          <w:rFonts w:ascii="Times New Roman" w:cs="Times New Roman" w:eastAsia="SimSun" w:hAnsi="Times New Roman"/>
        </w:rPr>
        <w:t xml:space="preserve"> 上是显著效应，而重叠极性 </w:t>
      </w:r>
      <w:r>
        <w:rPr>
          <w:rFonts w:ascii="Cambria Math" w:eastAsia="SimSun" w:hAnsi="Cambria Math"/>
          <w:i w:val="false"/>
          <w:iCs w:val="false"/>
        </w:rPr>
        <w:t xml:space="preserve">Δα</w:t>
      </w:r>
      <w:r>
        <w:rPr>
          <w:rFonts w:ascii="Times New Roman" w:cs="Times New Roman" w:eastAsia="SimSun" w:hAnsi="Times New Roman"/>
        </w:rPr>
        <w:t xml:space="preserve"> 尽管同为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-奇，其效应随 </w:t>
      </w:r>
      <w:r>
        <w:rPr>
          <w:rFonts w:ascii="Cambria Math" w:eastAsia="SimSun" w:hAnsi="Cambria Math"/>
          <w:i w:val="false"/>
          <w:iCs w:val="false"/>
        </w:rPr>
        <w:t xml:space="preserve">Δα</w:t>
      </w:r>
      <w:r>
        <w:rPr>
          <w:rFonts w:ascii="Times New Roman" w:cs="Times New Roman" w:eastAsia="SimSun" w:hAnsi="Times New Roman"/>
        </w:rPr>
        <w:t xml:space="preserve"> 增大始终不可分辨，只能给出上界。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据此，第 VI 节破缺实验的设计为：全部测量以 </w:t>
      </w:r>
      <w:r>
        <w:rPr>
          <w:rFonts w:ascii="Cambria Math" w:eastAsia="SimSun" w:hAnsi="Cambria Math"/>
          <w:i w:val="false"/>
          <w:iCs w:val="false"/>
        </w:rPr>
        <w:t xml:space="preserve">(Π,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̄)</w:t>
      </w:r>
      <w:r>
        <w:rPr>
          <w:rFonts w:ascii="Times New Roman" w:cs="Times New Roman" w:eastAsia="SimSun" w:hAnsi="Times New Roman"/>
        </w:rPr>
        <w:t xml:space="preserve"> 为序参量而非 </w:t>
      </w:r>
      <w:r>
        <w:rPr>
          <w:rFonts w:ascii="Cambria Math" w:eastAsia="SimSun" w:hAnsi="Cambria Math"/>
          <w:i w:val="false"/>
          <w:iCs w:val="false"/>
        </w:rPr>
        <w:t xml:space="preserve">⟨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；主实验驱动分支结构的不对称，</w:t>
      </w:r>
      <w:r>
        <w:rPr>
          <w:rFonts w:ascii="Cambria Math" w:eastAsia="SimSun" w:hAnsi="Cambria Math"/>
          <w:i w:val="false"/>
          <w:iCs w:val="false"/>
        </w:rPr>
        <w:t xml:space="preserve">Δα</w:t>
      </w:r>
      <w:r>
        <w:rPr>
          <w:rFonts w:ascii="Times New Roman" w:cs="Times New Roman" w:eastAsia="SimSun" w:hAnsi="Times New Roman"/>
        </w:rPr>
        <w:t xml:space="preserve"> 的效应作为独立扫描给出上界；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扫描与 </w:t>
      </w:r>
      <w:r>
        <w:rPr>
          <w:rFonts w:ascii="Cambria Math" w:eastAsia="SimSun" w:hAnsi="Cambria Math"/>
          <w:i w:val="false"/>
          <w:iCs w:val="false"/>
        </w:rPr>
        <w:t xml:space="preserve">⟨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的不变性分别作为阴性对照与内部一致性检查。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命题 1 与命题 2 都是关于系综平均的陈述。对单个实现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，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RH</w:t>
      </w:r>
      <w:r>
        <w:rPr>
          <w:rFonts w:ascii="Cambria Math" w:eastAsia="SimSun" w:hAnsi="Cambria Math"/>
          <w:i w:val="false"/>
          <w:iCs w:val="false"/>
        </w:rPr>
        <w:t xml:space="preserve">]</w:t>
      </w:r>
      <w:r>
        <w:rPr>
          <w:rFonts w:ascii="Times New Roman" w:cs="Times New Roman" w:eastAsia="SimSun" w:hAnsi="Times New Roman"/>
        </w:rPr>
        <w:t xml:space="preserve"> 一般不等，其差为有限尺寸涨落，随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增大而趋零。</w:t>
      </w:r>
    </w:p>
    <w:p>
      <w:pPr>
        <w:pBdr>
          <w:bottom w:val="single" w:color="BBBBBB" w:sz="6" w:space="1"/>
        </w:pBdr>
        <w:spacing w:after="200" w:before="80"/>
      </w:pP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参考文献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M. E. J. Newman, S. H. Strogatz, D. J. Watts,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64</w:t>
      </w:r>
      <w:r>
        <w:rPr>
          <w:rFonts w:ascii="Times New Roman" w:cs="Times New Roman" w:eastAsia="SimSun" w:hAnsi="Times New Roman"/>
        </w:rPr>
        <w:t xml:space="preserve">, 026118 (2001). doi:10.1103/PhysRevE.64.026118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M. E. J. Newman,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66</w:t>
      </w:r>
      <w:r>
        <w:rPr>
          <w:rFonts w:ascii="Times New Roman" w:cs="Times New Roman" w:eastAsia="SimSun" w:hAnsi="Times New Roman"/>
        </w:rPr>
        <w:t xml:space="preserve">, 016128 (2002). doi:10.1103/PhysRevE.66.016128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P. Grassberger, </w:t>
      </w:r>
      <w:r>
        <w:rPr>
          <w:rFonts w:ascii="Times New Roman" w:cs="Times New Roman" w:eastAsia="SimSun" w:hAnsi="Times New Roman"/>
          <w:i/>
          <w:iCs/>
        </w:rPr>
        <w:t xml:space="preserve">Mathematical Biosciences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63</w:t>
      </w:r>
      <w:r>
        <w:rPr>
          <w:rFonts w:ascii="Times New Roman" w:cs="Times New Roman" w:eastAsia="SimSun" w:hAnsi="Times New Roman"/>
        </w:rPr>
        <w:t xml:space="preserve">, 157–172 (1983). doi:10.1016/0025-5564(82)90036-0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R. Pastor-Satorras, A. Vespignani, </w:t>
      </w:r>
      <w:r>
        <w:rPr>
          <w:rFonts w:ascii="Times New Roman" w:cs="Times New Roman" w:eastAsia="SimSun" w:hAnsi="Times New Roman"/>
          <w:i/>
          <w:iCs/>
        </w:rPr>
        <w:t xml:space="preserve">Physical Review Letters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86</w:t>
      </w:r>
      <w:r>
        <w:rPr>
          <w:rFonts w:ascii="Times New Roman" w:cs="Times New Roman" w:eastAsia="SimSun" w:hAnsi="Times New Roman"/>
        </w:rPr>
        <w:t xml:space="preserve">, 3200–3203 (2001). doi:10.1103/PhysRevLett.86.3200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E. Kenah, J. M. Robins,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76</w:t>
      </w:r>
      <w:r>
        <w:rPr>
          <w:rFonts w:ascii="Times New Roman" w:cs="Times New Roman" w:eastAsia="SimSun" w:hAnsi="Times New Roman"/>
        </w:rPr>
        <w:t xml:space="preserve">, 036113 (2007). doi:10.1103/PhysRevE.76.036113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E. Volz, </w:t>
      </w:r>
      <w:r>
        <w:rPr>
          <w:rFonts w:ascii="Times New Roman" w:cs="Times New Roman" w:eastAsia="SimSun" w:hAnsi="Times New Roman"/>
          <w:i/>
          <w:iCs/>
        </w:rPr>
        <w:t xml:space="preserve">Journal of Mathematical Biology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56</w:t>
      </w:r>
      <w:r>
        <w:rPr>
          <w:rFonts w:ascii="Times New Roman" w:cs="Times New Roman" w:eastAsia="SimSun" w:hAnsi="Times New Roman"/>
        </w:rPr>
        <w:t xml:space="preserve">, 293–310 (2008). doi:10.1007/s00285-007-0116-4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J. C. Miller, A. C. Slim, E. M. Volz, </w:t>
      </w:r>
      <w:r>
        <w:rPr>
          <w:rFonts w:ascii="Times New Roman" w:cs="Times New Roman" w:eastAsia="SimSun" w:hAnsi="Times New Roman"/>
          <w:i/>
          <w:iCs/>
        </w:rPr>
        <w:t xml:space="preserve">Journal of the Royal Society Interface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9</w:t>
      </w:r>
      <w:r>
        <w:rPr>
          <w:rFonts w:ascii="Times New Roman" w:cs="Times New Roman" w:eastAsia="SimSun" w:hAnsi="Times New Roman"/>
        </w:rPr>
        <w:t xml:space="preserve">, 890–906 (2012). doi:10.1098/rsif.2011.0403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P. Van Mieghem, R. van de Bovenkamp, </w:t>
      </w:r>
      <w:r>
        <w:rPr>
          <w:rFonts w:ascii="Times New Roman" w:cs="Times New Roman" w:eastAsia="SimSun" w:hAnsi="Times New Roman"/>
          <w:i/>
          <w:iCs/>
        </w:rPr>
        <w:t xml:space="preserve">Physical Review Letters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110</w:t>
      </w:r>
      <w:r>
        <w:rPr>
          <w:rFonts w:ascii="Times New Roman" w:cs="Times New Roman" w:eastAsia="SimSun" w:hAnsi="Times New Roman"/>
        </w:rPr>
        <w:t xml:space="preserve">, 108701 (2013). doi:10.1103/PhysRevLett.110.108701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R. Pastor-Satorras, C. Castellano, P. Van Mieghem, A. Vespignani, </w:t>
      </w:r>
      <w:r>
        <w:rPr>
          <w:rFonts w:ascii="Times New Roman" w:cs="Times New Roman" w:eastAsia="SimSun" w:hAnsi="Times New Roman"/>
          <w:i/>
          <w:iCs/>
        </w:rPr>
        <w:t xml:space="preserve">Reviews of Modern Physics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87</w:t>
      </w:r>
      <w:r>
        <w:rPr>
          <w:rFonts w:ascii="Times New Roman" w:cs="Times New Roman" w:eastAsia="SimSun" w:hAnsi="Times New Roman"/>
        </w:rPr>
        <w:t xml:space="preserve">, 925–979 (2015). doi:10.1103/RevModPhys.87.925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S. N. Dorogovtsev, J. F. F. Mendes, A. N. Samukhin,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64</w:t>
      </w:r>
      <w:r>
        <w:rPr>
          <w:rFonts w:ascii="Times New Roman" w:cs="Times New Roman" w:eastAsia="SimSun" w:hAnsi="Times New Roman"/>
        </w:rPr>
        <w:t xml:space="preserve">, 025101 (2001). doi:10.1103/PhysRevE.64.025101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M. Boguñá, M. Á. Serrano,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72</w:t>
      </w:r>
      <w:r>
        <w:rPr>
          <w:rFonts w:ascii="Times New Roman" w:cs="Times New Roman" w:eastAsia="SimSun" w:hAnsi="Times New Roman"/>
        </w:rPr>
        <w:t xml:space="preserve">, 016106 (2005). doi:10.1103/PhysRevE.72.016106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L. A. Meyers, M. E. J. Newman, B. Pourbohloul, </w:t>
      </w:r>
      <w:r>
        <w:rPr>
          <w:rFonts w:ascii="Times New Roman" w:cs="Times New Roman" w:eastAsia="SimSun" w:hAnsi="Times New Roman"/>
          <w:i/>
          <w:iCs/>
        </w:rPr>
        <w:t xml:space="preserve">Journal of Theoretical Biology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240</w:t>
      </w:r>
      <w:r>
        <w:rPr>
          <w:rFonts w:ascii="Times New Roman" w:cs="Times New Roman" w:eastAsia="SimSun" w:hAnsi="Times New Roman"/>
        </w:rPr>
        <w:t xml:space="preserve">, 400–418 (2006). doi:10.1016/j.jtbi.2005.10.004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X. J. Xu, J. Y. Li, X. Fu, L. J. Zhang, </w:t>
      </w:r>
      <w:r>
        <w:rPr>
          <w:rFonts w:ascii="Times New Roman" w:cs="Times New Roman" w:eastAsia="SimSun" w:hAnsi="Times New Roman"/>
          <w:i/>
          <w:iCs/>
        </w:rPr>
        <w:t xml:space="preserve">Scientific Reports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8</w:t>
      </w:r>
      <w:r>
        <w:rPr>
          <w:rFonts w:ascii="Times New Roman" w:cs="Times New Roman" w:eastAsia="SimSun" w:hAnsi="Times New Roman"/>
        </w:rPr>
        <w:t xml:space="preserve"> (2018). doi:10.1038/s41598-018-22508-1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M. E. J. Newman, </w:t>
      </w:r>
      <w:r>
        <w:rPr>
          <w:rFonts w:ascii="Times New Roman" w:cs="Times New Roman" w:eastAsia="SimSun" w:hAnsi="Times New Roman"/>
          <w:i/>
          <w:iCs/>
        </w:rPr>
        <w:t xml:space="preserve">Physical Review Letters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89</w:t>
      </w:r>
      <w:r>
        <w:rPr>
          <w:rFonts w:ascii="Times New Roman" w:cs="Times New Roman" w:eastAsia="SimSun" w:hAnsi="Times New Roman"/>
        </w:rPr>
        <w:t xml:space="preserve">, 208701 (2002). doi:10.1103/PhysRevLett.89.208701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F. Battiston, G. Cencetti, I. Iacopini, V. Latora, M. Lucas, A. Patania, J. G. Young, G. Petri, </w:t>
      </w:r>
      <w:r>
        <w:rPr>
          <w:rFonts w:ascii="Times New Roman" w:cs="Times New Roman" w:eastAsia="SimSun" w:hAnsi="Times New Roman"/>
          <w:i/>
          <w:iCs/>
        </w:rPr>
        <w:t xml:space="preserve">Physics Reports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874</w:t>
      </w:r>
      <w:r>
        <w:rPr>
          <w:rFonts w:ascii="Times New Roman" w:cs="Times New Roman" w:eastAsia="SimSun" w:hAnsi="Times New Roman"/>
        </w:rPr>
        <w:t xml:space="preserve">, 1–92 (2020). doi:10.1016/j.physrep.2020.05.004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F. Battiston, E. Amico, A. Barrat, G. Bianconi, G. Ferraz de Arruda, B. Franceschiello, I. Iacopini, S. Kéfi et al., </w:t>
      </w:r>
      <w:r>
        <w:rPr>
          <w:rFonts w:ascii="Times New Roman" w:cs="Times New Roman" w:eastAsia="SimSun" w:hAnsi="Times New Roman"/>
          <w:i/>
          <w:iCs/>
        </w:rPr>
        <w:t xml:space="preserve">Nature Physics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17</w:t>
      </w:r>
      <w:r>
        <w:rPr>
          <w:rFonts w:ascii="Times New Roman" w:cs="Times New Roman" w:eastAsia="SimSun" w:hAnsi="Times New Roman"/>
        </w:rPr>
        <w:t xml:space="preserve">, 1093–1098 (2021). doi:10.1038/s41567-021-01371-4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A. R. Benson, R. Abebe, M. T. Schaub, A. Jadbabaie, J. Kleinberg, </w:t>
      </w:r>
      <w:r>
        <w:rPr>
          <w:rFonts w:ascii="Times New Roman" w:cs="Times New Roman" w:eastAsia="SimSun" w:hAnsi="Times New Roman"/>
          <w:i/>
          <w:iCs/>
        </w:rPr>
        <w:t xml:space="preserve">Proceedings of the National Academy of Sciences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115</w:t>
      </w:r>
      <w:r>
        <w:rPr>
          <w:rFonts w:ascii="Times New Roman" w:cs="Times New Roman" w:eastAsia="SimSun" w:hAnsi="Times New Roman"/>
        </w:rPr>
        <w:t xml:space="preserve">, E11221–E11230 (2018). doi:10.1073/pnas.1800683115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I. Iacopini, G. Petri, A. Barrat, V. Latora, </w:t>
      </w:r>
      <w:r>
        <w:rPr>
          <w:rFonts w:ascii="Times New Roman" w:cs="Times New Roman" w:eastAsia="SimSun" w:hAnsi="Times New Roman"/>
          <w:i/>
          <w:iCs/>
        </w:rPr>
        <w:t xml:space="preserve">Nature Communications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10</w:t>
      </w:r>
      <w:r>
        <w:rPr>
          <w:rFonts w:ascii="Times New Roman" w:cs="Times New Roman" w:eastAsia="SimSun" w:hAnsi="Times New Roman"/>
        </w:rPr>
        <w:t xml:space="preserve">, 2485 (2019). doi:10.1038/s41467-019-10431-6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G. Ferraz de Arruda, G. Petri, Y. Moreno, </w:t>
      </w:r>
      <w:r>
        <w:rPr>
          <w:rFonts w:ascii="Times New Roman" w:cs="Times New Roman" w:eastAsia="SimSun" w:hAnsi="Times New Roman"/>
          <w:i/>
          <w:iCs/>
        </w:rPr>
        <w:t xml:space="preserve">Physical Review Research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2</w:t>
      </w:r>
      <w:r>
        <w:rPr>
          <w:rFonts w:ascii="Times New Roman" w:cs="Times New Roman" w:eastAsia="SimSun" w:hAnsi="Times New Roman"/>
        </w:rPr>
        <w:t xml:space="preserve">, 023032 (2020). doi:10.1103/PhysRevResearch.2.023032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G. St-Onge, H. Sun, A. Allard, L. Hébert-Dufresne, G. Bianconi, </w:t>
      </w:r>
      <w:r>
        <w:rPr>
          <w:rFonts w:ascii="Times New Roman" w:cs="Times New Roman" w:eastAsia="SimSun" w:hAnsi="Times New Roman"/>
          <w:i/>
          <w:iCs/>
        </w:rPr>
        <w:t xml:space="preserve">Physical Review Letters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127</w:t>
      </w:r>
      <w:r>
        <w:rPr>
          <w:rFonts w:ascii="Times New Roman" w:cs="Times New Roman" w:eastAsia="SimSun" w:hAnsi="Times New Roman"/>
        </w:rPr>
        <w:t xml:space="preserve">, 158301 (2021). doi:10.1103/PhysRevLett.127.158301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D. J. Watts, </w:t>
      </w:r>
      <w:r>
        <w:rPr>
          <w:rFonts w:ascii="Times New Roman" w:cs="Times New Roman" w:eastAsia="SimSun" w:hAnsi="Times New Roman"/>
          <w:i/>
          <w:iCs/>
        </w:rPr>
        <w:t xml:space="preserve">Proceedings of the National Academy of Sciences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99</w:t>
      </w:r>
      <w:r>
        <w:rPr>
          <w:rFonts w:ascii="Times New Roman" w:cs="Times New Roman" w:eastAsia="SimSun" w:hAnsi="Times New Roman"/>
        </w:rPr>
        <w:t xml:space="preserve">, 5766–5771 (2002). doi:10.1073/pnas.082090499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D. Centola, M. Macy, </w:t>
      </w:r>
      <w:r>
        <w:rPr>
          <w:rFonts w:ascii="Times New Roman" w:cs="Times New Roman" w:eastAsia="SimSun" w:hAnsi="Times New Roman"/>
          <w:i/>
          <w:iCs/>
        </w:rPr>
        <w:t xml:space="preserve">American Journal of Sociology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113</w:t>
      </w:r>
      <w:r>
        <w:rPr>
          <w:rFonts w:ascii="Times New Roman" w:cs="Times New Roman" w:eastAsia="SimSun" w:hAnsi="Times New Roman"/>
        </w:rPr>
        <w:t xml:space="preserve">, 702–734 (2007). doi:10.1086/521848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N. W. Landry, J. G. Restrepo, </w:t>
      </w:r>
      <w:r>
        <w:rPr>
          <w:rFonts w:ascii="Times New Roman" w:cs="Times New Roman" w:eastAsia="SimSun" w:hAnsi="Times New Roman"/>
          <w:i/>
          <w:iCs/>
        </w:rPr>
        <w:t xml:space="preserve">Chaos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30</w:t>
      </w:r>
      <w:r>
        <w:rPr>
          <w:rFonts w:ascii="Times New Roman" w:cs="Times New Roman" w:eastAsia="SimSun" w:hAnsi="Times New Roman"/>
        </w:rPr>
        <w:t xml:space="preserve">, 103117 (2020). doi:10.1063/5.0020034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M. Mancastroppa, I. Iacopini, G. Petri, A. Barrat, </w:t>
      </w:r>
      <w:r>
        <w:rPr>
          <w:rFonts w:ascii="Times New Roman" w:cs="Times New Roman" w:eastAsia="SimSun" w:hAnsi="Times New Roman"/>
          <w:i/>
          <w:iCs/>
        </w:rPr>
        <w:t xml:space="preserve">Nature Communications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14</w:t>
      </w:r>
      <w:r>
        <w:rPr>
          <w:rFonts w:ascii="Times New Roman" w:cs="Times New Roman" w:eastAsia="SimSun" w:hAnsi="Times New Roman"/>
        </w:rPr>
        <w:t xml:space="preserve">, 6223 (2023). doi:10.1038/s41467-023-41887-2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J. H. Kim, K. I. Goh, </w:t>
      </w:r>
      <w:r>
        <w:rPr>
          <w:rFonts w:ascii="Times New Roman" w:cs="Times New Roman" w:eastAsia="SimSun" w:hAnsi="Times New Roman"/>
          <w:i/>
          <w:iCs/>
        </w:rPr>
        <w:t xml:space="preserve">Physical Review Letters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132</w:t>
      </w:r>
      <w:r>
        <w:rPr>
          <w:rFonts w:ascii="Times New Roman" w:cs="Times New Roman" w:eastAsia="SimSun" w:hAnsi="Times New Roman"/>
        </w:rPr>
        <w:t xml:space="preserve">, 087401 (2024). doi:10.1103/PhysRevLett.132.087401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G. St-Onge, I. Iacopini, V. Latora, A. Barrat, G. Petri, A. Allard, L. Hébert-Dufresne, </w:t>
      </w:r>
      <w:r>
        <w:rPr>
          <w:rFonts w:ascii="Times New Roman" w:cs="Times New Roman" w:eastAsia="SimSun" w:hAnsi="Times New Roman"/>
          <w:i/>
          <w:iCs/>
        </w:rPr>
        <w:t xml:space="preserve">Communications Physics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5</w:t>
      </w:r>
      <w:r>
        <w:rPr>
          <w:rFonts w:ascii="Times New Roman" w:cs="Times New Roman" w:eastAsia="SimSun" w:hAnsi="Times New Roman"/>
        </w:rPr>
        <w:t xml:space="preserve">, 25 (2022). doi:10.1038/s42005-021-00788-w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F. Malizia, S. Lamata-Otín, M. Frasca, V. Latora, J. Gómez-Gardeñes, </w:t>
      </w:r>
      <w:r>
        <w:rPr>
          <w:rFonts w:ascii="Times New Roman" w:cs="Times New Roman" w:eastAsia="SimSun" w:hAnsi="Times New Roman"/>
          <w:i/>
          <w:iCs/>
        </w:rPr>
        <w:t xml:space="preserve">Nature Communications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16</w:t>
      </w:r>
      <w:r>
        <w:rPr>
          <w:rFonts w:ascii="Times New Roman" w:cs="Times New Roman" w:eastAsia="SimSun" w:hAnsi="Times New Roman"/>
        </w:rPr>
        <w:t xml:space="preserve"> (2025). doi:10.1038/s41467-024-55506-1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S. Lamata-Otín, F. Malizia, V. Latora, M. Frasca, J. Gómez-Gardeñes,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111</w:t>
      </w:r>
      <w:r>
        <w:rPr>
          <w:rFonts w:ascii="Times New Roman" w:cs="Times New Roman" w:eastAsia="SimSun" w:hAnsi="Times New Roman"/>
        </w:rPr>
        <w:t xml:space="preserve">, 034302 (2025). doi:10.1103/PhysRevE.111.034302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F. Malizia, A. Guzmán, I. Iacopini, I. Z. Kiss, </w:t>
      </w:r>
      <w:r>
        <w:rPr>
          <w:rFonts w:ascii="Times New Roman" w:cs="Times New Roman" w:eastAsia="SimSun" w:hAnsi="Times New Roman"/>
          <w:i/>
          <w:iCs/>
        </w:rPr>
        <w:t xml:space="preserve">Physical Review Letters</w:t>
      </w:r>
      <w:r>
        <w:rPr>
          <w:rFonts w:ascii="Times New Roman" w:cs="Times New Roman" w:eastAsia="SimSun" w:hAnsi="Times New Roman"/>
        </w:rPr>
        <w:t xml:space="preserve"> (2025). doi:10.1103/z3d5-94zb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G. Bianconi, S. N. Dorogovtsev,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109</w:t>
      </w:r>
      <w:r>
        <w:rPr>
          <w:rFonts w:ascii="Times New Roman" w:cs="Times New Roman" w:eastAsia="SimSun" w:hAnsi="Times New Roman"/>
        </w:rPr>
        <w:t xml:space="preserve">, 014306 (2024). doi:10.1103/PhysRevE.109.014306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G. Ferraz de Arruda, A. Aleta, Y. Moreno, </w:t>
      </w:r>
      <w:r>
        <w:rPr>
          <w:rFonts w:ascii="Times New Roman" w:cs="Times New Roman" w:eastAsia="SimSun" w:hAnsi="Times New Roman"/>
          <w:i/>
          <w:iCs/>
        </w:rPr>
        <w:t xml:space="preserve">Nature Reviews Physics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6</w:t>
      </w:r>
      <w:r>
        <w:rPr>
          <w:rFonts w:ascii="Times New Roman" w:cs="Times New Roman" w:eastAsia="SimSun" w:hAnsi="Times New Roman"/>
        </w:rPr>
        <w:t xml:space="preserve">, 468–482 (2024). doi:10.1038/s42254-024-00733-0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G. Gallo, G. Longo, S. Pallottino, S. Nguyen, </w:t>
      </w:r>
      <w:r>
        <w:rPr>
          <w:rFonts w:ascii="Times New Roman" w:cs="Times New Roman" w:eastAsia="SimSun" w:hAnsi="Times New Roman"/>
          <w:i/>
          <w:iCs/>
        </w:rPr>
        <w:t xml:space="preserve">Discrete Applied Mathematics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42</w:t>
      </w:r>
      <w:r>
        <w:rPr>
          <w:rFonts w:ascii="Times New Roman" w:cs="Times New Roman" w:eastAsia="SimSun" w:hAnsi="Times New Roman"/>
        </w:rPr>
        <w:t xml:space="preserve">, 177–201 (1993). doi:10.1016/0166-218X(93)90045-P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S. Klamt, U. U. Haus, F. Theis, </w:t>
      </w:r>
      <w:r>
        <w:rPr>
          <w:rFonts w:ascii="Times New Roman" w:cs="Times New Roman" w:eastAsia="SimSun" w:hAnsi="Times New Roman"/>
          <w:i/>
          <w:iCs/>
        </w:rPr>
        <w:t xml:space="preserve">PLoS Computational Biology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5</w:t>
      </w:r>
      <w:r>
        <w:rPr>
          <w:rFonts w:ascii="Times New Roman" w:cs="Times New Roman" w:eastAsia="SimSun" w:hAnsi="Times New Roman"/>
        </w:rPr>
        <w:t xml:space="preserve">, e1000385 (2009). doi:10.1371/journal.pcbi.1000385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Q. F. Lotito, A. Vendramini, A. Montresor, F. Battiston, </w:t>
      </w:r>
      <w:r>
        <w:rPr>
          <w:rFonts w:ascii="Times New Roman" w:cs="Times New Roman" w:eastAsia="SimSun" w:hAnsi="Times New Roman"/>
          <w:i/>
          <w:iCs/>
        </w:rPr>
        <w:t xml:space="preserve">Communications Physics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9</w:t>
      </w:r>
      <w:r>
        <w:rPr>
          <w:rFonts w:ascii="Times New Roman" w:cs="Times New Roman" w:eastAsia="SimSun" w:hAnsi="Times New Roman"/>
        </w:rPr>
        <w:t xml:space="preserve"> (2026). doi:10.1038/s42005-025-02472-9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S. Kim, M. Choe, J. Yoo, K. Shin, </w:t>
      </w:r>
      <w:r>
        <w:rPr>
          <w:rFonts w:ascii="Times New Roman" w:cs="Times New Roman" w:eastAsia="SimSun" w:hAnsi="Times New Roman"/>
          <w:i/>
          <w:iCs/>
        </w:rPr>
        <w:t xml:space="preserve">Data Mining and Knowledge Discovery</w:t>
      </w:r>
      <w:r>
        <w:rPr>
          <w:rFonts w:ascii="Times New Roman" w:cs="Times New Roman" w:eastAsia="SimSun" w:hAnsi="Times New Roman"/>
        </w:rPr>
        <w:t xml:space="preserve"> (2023). doi:10.1007/s10618-023-00955-3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G. Lee, M. Choe, K. Shin, </w:t>
      </w:r>
      <w:r>
        <w:rPr>
          <w:rFonts w:ascii="Times New Roman" w:cs="Times New Roman" w:eastAsia="SimSun" w:hAnsi="Times New Roman"/>
          <w:i/>
          <w:iCs/>
        </w:rPr>
        <w:t xml:space="preserve">Proceedings of the Web Conference 2021</w:t>
      </w:r>
      <w:r>
        <w:rPr>
          <w:rFonts w:ascii="Times New Roman" w:cs="Times New Roman" w:eastAsia="SimSun" w:hAnsi="Times New Roman"/>
        </w:rPr>
        <w:t xml:space="preserve"> (2021). doi:10.1145/3442381.3450010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P. S. Chodrow, </w:t>
      </w:r>
      <w:r>
        <w:rPr>
          <w:rFonts w:ascii="Times New Roman" w:cs="Times New Roman" w:eastAsia="SimSun" w:hAnsi="Times New Roman"/>
          <w:i/>
          <w:iCs/>
        </w:rPr>
        <w:t xml:space="preserve">Journal of Complex Networks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8</w:t>
      </w:r>
      <w:r>
        <w:rPr>
          <w:rFonts w:ascii="Times New Roman" w:cs="Times New Roman" w:eastAsia="SimSun" w:hAnsi="Times New Roman"/>
        </w:rPr>
        <w:t xml:space="preserve">, cnaa018 (2020). doi:10.1093/comnet/cnaa018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K. Nakajima, K. Shudo, N. Masuda, </w:t>
      </w:r>
      <w:r>
        <w:rPr>
          <w:rFonts w:ascii="Times New Roman" w:cs="Times New Roman" w:eastAsia="SimSun" w:hAnsi="Times New Roman"/>
          <w:i/>
          <w:iCs/>
        </w:rPr>
        <w:t xml:space="preserve">IEEE Transactions on Network Science and Engineering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9</w:t>
      </w:r>
      <w:r>
        <w:rPr>
          <w:rFonts w:ascii="Times New Roman" w:cs="Times New Roman" w:eastAsia="SimSun" w:hAnsi="Times New Roman"/>
        </w:rPr>
        <w:t xml:space="preserve">, 1139–1153 (2022). doi:10.1109/TNSE.2021.3133380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Y. J. Kraakman, C. Stegehuis, </w:t>
      </w:r>
      <w:r>
        <w:rPr>
          <w:rFonts w:ascii="Times New Roman" w:cs="Times New Roman" w:eastAsia="SimSun" w:hAnsi="Times New Roman"/>
          <w:i/>
          <w:iCs/>
        </w:rPr>
        <w:t xml:space="preserve">Discrete Mathematics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349</w:t>
      </w:r>
      <w:r>
        <w:rPr>
          <w:rFonts w:ascii="Times New Roman" w:cs="Times New Roman" w:eastAsia="SimSun" w:hAnsi="Times New Roman"/>
        </w:rPr>
        <w:t xml:space="preserve">, 114961 (2026). doi:10.1016/j.disc.2025.114961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M. Abuissa, M. Riondato, E. Upfal, </w:t>
      </w:r>
      <w:r>
        <w:rPr>
          <w:rFonts w:ascii="Times New Roman" w:cs="Times New Roman" w:eastAsia="SimSun" w:hAnsi="Times New Roman"/>
          <w:i/>
          <w:iCs/>
        </w:rPr>
        <w:t xml:space="preserve">Data Mining and Knowledge Discovery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40</w:t>
      </w:r>
      <w:r>
        <w:rPr>
          <w:rFonts w:ascii="Times New Roman" w:cs="Times New Roman" w:eastAsia="SimSun" w:hAnsi="Times New Roman"/>
        </w:rPr>
        <w:t xml:space="preserve"> (2026). doi:10.1007/s10618-026-01209-8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J. Li, X. Wu, J. Lü, L. Lei, </w:t>
      </w:r>
      <w:r>
        <w:rPr>
          <w:rFonts w:ascii="Times New Roman" w:cs="Times New Roman" w:eastAsia="SimSun" w:hAnsi="Times New Roman"/>
          <w:i/>
          <w:iCs/>
        </w:rPr>
        <w:t xml:space="preserve">Communications Physics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7</w:t>
      </w:r>
      <w:r>
        <w:rPr>
          <w:rFonts w:ascii="Times New Roman" w:cs="Times New Roman" w:eastAsia="SimSun" w:hAnsi="Times New Roman"/>
        </w:rPr>
        <w:t xml:space="preserve"> (2024). doi:10.1038/s42005-024-01614-9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D. T. Gillespie, </w:t>
      </w:r>
      <w:r>
        <w:rPr>
          <w:rFonts w:ascii="Times New Roman" w:cs="Times New Roman" w:eastAsia="SimSun" w:hAnsi="Times New Roman"/>
          <w:i/>
          <w:iCs/>
        </w:rPr>
        <w:t xml:space="preserve">The Journal of Physical Chemistry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81</w:t>
      </w:r>
      <w:r>
        <w:rPr>
          <w:rFonts w:ascii="Times New Roman" w:cs="Times New Roman" w:eastAsia="SimSun" w:hAnsi="Times New Roman"/>
        </w:rPr>
        <w:t xml:space="preserve">, 2340–2361 (1977). doi:10.1021/j100540a008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S. N. Dorogovtsev, A. V. Goltsev, J. F. F. Mendes, </w:t>
      </w:r>
      <w:r>
        <w:rPr>
          <w:rFonts w:ascii="Times New Roman" w:cs="Times New Roman" w:eastAsia="SimSun" w:hAnsi="Times New Roman"/>
          <w:i/>
          <w:iCs/>
        </w:rPr>
        <w:t xml:space="preserve">Physical Review Letters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96</w:t>
      </w:r>
      <w:r>
        <w:rPr>
          <w:rFonts w:ascii="Times New Roman" w:cs="Times New Roman" w:eastAsia="SimSun" w:hAnsi="Times New Roman"/>
        </w:rPr>
        <w:t xml:space="preserve">, 040601 (2006). doi:10.1103/PhysRevLett.96.040601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G. J. Baxter, S. N. Dorogovtsev, A. V. Goltsev, J. F. F. Mendes,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82</w:t>
      </w:r>
      <w:r>
        <w:rPr>
          <w:rFonts w:ascii="Times New Roman" w:cs="Times New Roman" w:eastAsia="SimSun" w:hAnsi="Times New Roman"/>
        </w:rPr>
        <w:t xml:space="preserve">, 011103 (2010). doi:10.1103/PhysRevE.82.011103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H. Sun, G. Bianconi,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104</w:t>
      </w:r>
      <w:r>
        <w:rPr>
          <w:rFonts w:ascii="Times New Roman" w:cs="Times New Roman" w:eastAsia="SimSun" w:hAnsi="Times New Roman"/>
        </w:rPr>
        <w:t xml:space="preserve">, 034306 (2021). doi:10.1103/PhysRevE.104.034306</w:t>
      </w:r>
    </w:p>
    <w:sectPr>
      <w:pgSz w:w="11906" w:h="16838" w:orient="portrait"/>
      <w:pgMar w:top="1200" w:right="1100" w:bottom="12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5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SimSun" w:hAnsi="Times New Roman"/>
        <w:sz w:val="21"/>
        <w:szCs w:val="21"/>
      </w:rPr>
    </w:rPrDefault>
    <w:pPrDefault>
      <w:pPr>
        <w:spacing w:line="32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第 I 部分　引言与定位</dc:title>
  <dc:creator>SIR on Directed Hypergraphs</dc:creator>
  <cp:lastModifiedBy>Un-named</cp:lastModifiedBy>
  <cp:revision>1</cp:revision>
  <dcterms:created xsi:type="dcterms:W3CDTF">2026-08-09T06:27:29.469Z</dcterms:created>
  <dcterms:modified xsi:type="dcterms:W3CDTF">2026-08-09T06:27:29.483Z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