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值得单独说明。当传播事件对每个（尾成员，头成员）对独立发生时它平凡成立；本文的超边级激活核使各头成员共享同一激活区间，因而 (ii) 只是近似。第 VI 节的数值表明这一近似的偏离低于分辨率：即便在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这种最不对称的构型上，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在翻转前后的差异也始终落在统计涨落内。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2 的后果是：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不能作为方向对称性破缺的序参量</w:t>
      </w:r>
      <w:r>
        <w:rPr>
          <w:rFonts w:ascii="Times New Roman" w:cs="Times New Roman" w:eastAsia="SimSun" w:hAnsi="Times New Roman"/>
        </w:rPr>
        <w:t xml:space="preserve">——它在任何结构上都对称，与结构有多不对称无关。破缺出现在可达对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-奇部分必须相消。这是一条可证伪的预言，第 VI 节将检验之。注意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的不变性分别作为阴性对照与内部一致性检查。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2026-08-09T06:27:29.783Z</dcterms:created>
  <dcterms:modified xsi:type="dcterms:W3CDTF">2026-08-09T06:27:29.783Z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