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为该节点所属的层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是本节唯一的结构输入。一个群体在其感染成员数达到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并人为令其永久保持易感（空腔节点），取 u 所属的一个层 a 群体 e，定义边基变量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无向群体与有向超图的分界在此显现。有向情形下尾集与头集不相交，头成员被感染并不延长激活，故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是一条可用的假设；无向群体中每个成员既是传染源也是传染靶，一个成员被感染后群体随即激活，它可以感染同群其他成员，而后者被感染又延长群体的激活时长，从而进一步提高剩余成员被感染的概率。这一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使逐成员的乘积闭合失效。可行的做法不是忽略群内耦合，而是把它完整吸收进状态：以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，而激活且尚未传递的部分为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恒为易感，它不计入群体的感染计数，群体的激活只取决于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之后其各成员落在互不相交的分支中，故它们经由自身其他群体被感染的过程相互独立。该假设弱于有向情形下的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+1,2)+2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，与系统规模 N 无关，积分一次即给出完整的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S(t)、I(t)、R(t)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与 31.1%，并非可忽略的修正；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分支过程必须定义在群体层面：每个新感染节点点燃它的其余各群体，每个被点燃的群体产出 C 个新感染成员，这些成员再点燃各自的其余群体。若改在节点层面朴素地统计谁直接传染了谁，群内级联的后继会被重复计入。以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为型，经由层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为谱半径。标量再生数由此升维为矩阵：单层、多层、成对、高阶均为其特例。全部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。此外，N 逐元非负，故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给出的阈值是线性化的产物。本小节给出一条不经由线性化的独立判据，其思路与谱方法正相反：始终停在阈值以下，由小种子所引发簇的规模发散读出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为种子的型分布。须注意 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60"/>
          <w:tab w:val="right" w:pos="912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求谱半径并二分，二者仅共享模型定义。两条路线的一致因而是对彼此的非平凡检验，这正是图 2 所报告者。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2.9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。其效果可以直接读出：在代表性构型上，未作外推时零点一致偏高 0.37%–0.44%，作外推后降至 0.031%–0.065%。偏置的系统性（各构型同号且量级相当）与该修正的有效性由此同时确认。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取窗口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，含单层高阶超图、成对退化网络与双层多重超图，其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与 0.400567，而外推值依次为 0.080354、0.099370、0.128236、0.174536、0.185512、0.250096、0.333440 与 0.400702。相对偏差依次为 +0.065%、+0.062%、+0.058%、+0.031%、+0.052%、+0.039%、+0.032% 与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与 +0.47，全部落在 1.5σ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，而非闭合与谱方法之间的实质分歧。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时为正——其量级与 σ 相当，故不可与真实偏离相区分。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6000750" cy="1933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由亚临界终态外推测定爆发阈值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，并与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独立比对。(a) 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随归一化控制参数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线性趋零，示例三组构型为双层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、成对 6-正则与单层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；散点为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外推后的闭合终态，实线为窗口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内的线性拟合，虚线为其向零点的延长，空心圆为三线共同的零点，即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的预言（竖虚线）。(b) 八组构型的外推值与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值落在对角线上，最大相对偏差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σ，在此标度下小于标记。(c) 偏离的 σ 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extr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)/σ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，全部构型落在 1.5σ 之内，阴影分别为 ±1σ 与 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与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的方程组求和，外部风险项、群内项与康复项各自守恒相消，只余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处为零，达机器精度：闭合与次代矩阵共享同一个阈值，(2.9)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处与解析值相差不超过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中整列为零，精确出列，所得阈值与相应单层值逐位相同：一条高门槛渠道不改变爆发与否，只改变爆发规模。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闭合的亚临界终态与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次实现给出的估计与递推值一致，偏离多在一个统计标准误以内；其中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综上，由亚临界终态外推测得的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、全部落在 1.5σ 之内。这是对爆发阈值的一次全非线性的独立确认，与前述 Jacobian 复核互补——后者检验线性化谱，前者检验非线性终态所继承的同一阈值。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c0a0acb9e23aa5c1c48bb1d88c60f5ecccb0ed2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2026-08-16T11:05:32.741Z</dcterms:created>
  <dcterms:modified xsi:type="dcterms:W3CDTF">2026-08-16T11:05:32.752Z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