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为该节点所属的层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并人为令其永久保持易感（空腔节点），取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无向群体与有向超图的分界在此显现。有向情形下尾集与头集不相交，头成员被感染并不延长激活，故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是一条可用的假设；无向群体中每个成员既是传染源也是传染靶，一个成员被感染后群体随即激活，它可以感染同群其他成员，而后者被感染又延长群体的激活时长，从而进一步提高剩余成员被感染的概率。这一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使逐成员的乘积闭合失效。可行的做法不是忽略群内耦合，而是把它完整吸收进状态：以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，而激活且尚未传递的部分为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恒为易感，它不计入群体的感染计数，群体的激活只取决于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之后其各成员落在互不相交的分支中，故它们经由自身其他群体被感染的过程相互独立。该假设弱于有向情形下的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与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分支过程必须定义在群体层面：每个新感染节点点燃它的其余各群体，每个被点燃的群体产出 C 个新感染成员，这些成员再点燃各自的其余群体。若改在节点层面朴素地统计谁直接传染了谁，群内级联的后继会被重复计入。以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为谱半径。标量再生数由此升维为矩阵：单层、多层、成对、高阶均为其特例。全部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。此外，N 逐元非负，故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给出的阈值是线性化的产物。本小节给出一条不经由线性化的独立判据，其思路与谱方法正相反：始终停在阈值以下，由小种子所引发簇的规模发散读出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为种子的型分布。须注意 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求谱半径并二分，二者仅共享模型定义。两条路线的一致因而是对彼此的非平凡检验，这正是图 3 所报告者。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。其效果可以直接读出：在代表性构型上，未作外推时零点一致偏高 0.37%–0.44%，作外推后降至 0.031%–0.065%。偏置的系统性（各构型同号且量级相当）与该修正的有效性由此同时确认。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取窗口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，含单层高阶超图、成对退化网络与双层多重超图，其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与 0.400567，而外推值依次为 0.080354、0.099370、0.128236、0.174536、0.185512、0.250096、0.333440 与 0.400702。相对偏差依次为 +0.065%、+0.062%、+0.058%、+0.031%、+0.052%、+0.039%、+0.032% 与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与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，而非闭合与谱方法之间的实质分歧。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时为正——其量级与 σ 相当，故不可与真实偏离相区分。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的实线即此曲线：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上复现该曲线，偏离最大 1.9σ、相对差不超过 1.1%。相同节点在两层同时充当枢纽，会在边缘结构不变的前提下集中跨层传播能力、压低阈值；反相关则抬高阈值。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3810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的精确阈值，箱线图为多重超图上直接 Gillespie 仿真所得阈值的自助分布（亚临界簇规模外推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；箱体为四分位距、须为 5–95 百分位、中线为中位数）。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单调下降约 12.5%，理论与仿真在六点上一致至 1.9σ。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与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的方程组求和，外部风险项、群内项与康复项各自守恒相消，只余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处为零，达机器精度：闭合与次代矩阵共享同一个阈值，(2.9)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处与解析值相差不超过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中整列为零，精确出列，所得阈值与相应单层值逐位相同：一条高门槛渠道不改变爆发与否，只改变爆发规模。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闭合的亚临界终态与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次实现给出的估计与递推值一致，偏离多在一个统计标准误以内；其中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综上，由亚临界终态外推测得的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、偏离最大者 1.51σ。这是对爆发阈值的一次全非线性的独立确认，与前述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e822df93fb6a5ce586824e530245587b1372873.png"/><Relationship Id="rId8" Type="http://schemas.openxmlformats.org/officeDocument/2006/relationships/image" Target="media/30874ee97d624669e9892c03dacffab351fd6fe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2026-08-20T07:47:34.786Z</dcterms:created>
  <dcterms:modified xsi:type="dcterms:W3CDTF">2026-08-20T07:47:34.786Z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