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传播的理论已沿两条彼此独立的路径发展成熟。终态一侧由渗流承担：随机图的连通结构可由生成函数方法解析给出 [1]，而键渗流映射把最终感染规模化归为占据概率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[2]；这一思路可上溯至一般流行过程与动力学渗流的等价性 [3]。度分布的强异质性会把流行阈值压向零——该结论最早在无标度网络上的 SIS 模型中给出 [4]，在 SIR 的渗流表述下同样成立 [2]。Kenah 与 Robins 随后指出，SIR 与键渗流之间并非严格同构：与之精确同构的是一个半有向的"流行渗流网络"，其中爆发规模分布对应出分支、阈值对应巨强连通分支的出现、终态规模对应巨出分支 [5]。值得注意的是，方向性由此已经内在地进入了 SIR 的渗流表述，尽管接触网络本身是无向的。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含时一侧由方程法承担。Volz 用成对近似给出随机网络上 SIR 的低维闭合 [6]，Miller 等将其整理为边基房室模型（EBCM），以"沿一条边尚未传来感染"的概率为核心变量，用少数常微分方程同时容纳异质接触率与伙伴关系的有限持续时间 [7]。传染与康复过程的分布形式并非细节：偏离马尔可夫假设会显著改变流行阈值 [8]。两条路径分工明确——渗流给出阈值与终态，方程给出峰值与时间演化——并可相互印证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方向性作为接触网络本身的属性也早已被处理。有向随机图的巨强连通分支由入出度联合生成函数决定 [10]；在任意两点度相关与双向边同时存在的一般情形下，有向渗流的阈值与各巨分支规模已可解析求出 [11]；这套机制已直接用于有向接触网络上的流行预测 [12]。入出度相关这一结构量本身也会改变传播行为：在有向网络上的阈值型传播中，正的入出度相关在较宽的平均入度范围内提高系统稳健性，负相关则相反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16]，而这类高阶交互在真实数据中普遍存在 [17]。单纯复形上的群体强化可把连续相变变为不连续相变并带来滞后 [18]；超图上的社会传播已有适用于任意超图的解析框架，展现一阶与二阶相变、双稳与滞后 [19]；而把异质暴露与最小感染剂量结合，会导出一个普适的非线性感染核，并随之出现不连续相变与超指数增长 [20]——这与经典的阈值型复杂传播 [21, 22] 一脉相承。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结构对高阶传播的影响同样明确。链接度分布的异质性可抑制爆炸式相变 [23]；超核分解给出一种中心性，传播过程局域于中心超核 [24]；由超边之间共享节点数定义的高阶连通分支，其巨分支的存在是单一种子实现全局爆发的必要条件 [25]；哪些群体最适合作为种子也已被刻画 [26]。尤为关键的是，超边之间的重叠决定了转变是否爆炸式，且其作用方向值得注意：只有在阶内重叠较低时才出现爆炸性与双稳 [27]。重叠的组织方式可由一个超边重叠矩阵刻画，其对角元与非对角元分别对应阶内与阶间重叠 [28]，而阶间相关驱动系统沿不同路径走向爆炸式传播 [29]。超图上的渗流理论亦已建立 [30, 31]，相关进展见综述 [32]。这些工作共享同一前提：超边是无向的，一条超边内的所有节点对称地相互施加影响。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有向超图正是为刻画这种不对称而设的形式化：每条超边分为施加影响的尾集与接受影响的头集，这一结构在算法与运筹领域已使用三十余年 [33]。代谢与化学反应把一组底物转化为一组产物，是其典型实例 [34]；比特币交易与引用数据亦已按有向超图分析 [35]。针对有向超图的结构刻画工具近年迅速成型：真实数据的微观组织、高阶互惠性与 motif 已被系统刻画 [35, 36]；无向超图中超边重叠的测度与生成器已给出 [37]，位形模型与保度随机化亦有成熟实现 [38, 39]；而保入出度序列的均匀采样与非退化零模型在有向超图上也已可用 [40, 41]。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[42]。该工作采用均场闭合，不涉及渗流，其方向性由单一标量强度参数调节。均场忽略邻域相关，误差在阈值邻域最大；在成对网络上，正是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[43] 在阈值邻域校验，从而定量给出边基闭合相对均场的增益。渗流一侧，我们把成对网络上成熟的 SIR–渗流映射 [2, 5]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[27, 28]；对任意一对超边，四个通道之和精确等于无向情形下的重叠，因此本文结果可与无向文献直接对照。互惠通道直接采用文献中的强互惠判据 [35]。在此定义下，我们在严格保持逐节点入出度的约束下，运行以入出度相关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[40, 41]。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不可能产生系综层面的方向不对称，尽管它确实移动阈值。破缺的最低阶来源是共发重叠与共收重叠之差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时，模型落入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型渗流，其阈值与相变级数均不同于普通渗流 [44, 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动力学的定义，以及有向超边重叠的可计算形式。第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2026-08-08T12:35:33.270Z</dcterms:created>
  <dcterms:modified xsi:type="dcterms:W3CDTF">2026-08-08T12:35:33.272Z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