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个尾成员共同驱动——激活时长是各成员感染期之并，闭合变量不能逐成员相乘。以尾集中易感、感染、康复的成员计数为状态，可把"尚未传递"重写为一条带湮灭的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29]。这些工作共享同一前提：超边是无向的。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35]。动力学一侧则只有 Li 等一项：他们在有向超图上建立社会传播模型，发现双稳区间随有向强度减弱而收缩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12]。因此，有向超图上的传播阈值如何依赖于结构，目前既无超出均场的含时理论，也无可供解析扫描的渗流理论。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2026-08-09T15:14:34.065Z</dcterms:created>
  <dcterms:modified xsi:type="dcterms:W3CDTF">2026-08-09T15:14:34.065Z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