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第 I 部分　引言与定位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有向超图上的 SIR 传播：方程法与渗流法的统一分析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草稿版本 v1 · 对应大纲 I.1 / I.2 · 全部文献已过 cite-verify 核验（43/43 命中，0 未找到）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I.1 研究背景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起点：成对网络上的 SIR 已经有两条成熟路径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传播的理论框架已相当完备，而且是</w:t>
      </w:r>
      <w:r>
        <w:rPr>
          <w:rFonts w:ascii="Times New Roman" w:cs="Times New Roman" w:eastAsia="SimSun" w:hAnsi="Times New Roman"/>
          <w:b/>
          <w:bCs/>
        </w:rPr>
        <w:t xml:space="preserve">双轨</w:t>
      </w:r>
      <w:r>
        <w:rPr>
          <w:rFonts w:ascii="Times New Roman" w:cs="Times New Roman" w:eastAsia="SimSun" w:hAnsi="Times New Roman"/>
        </w:rPr>
        <w:t xml:space="preserve">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终态一侧由渗流承担。度分布的异质性把爆发阈值压向零 [pastorsatorras2001]；随机图上的连通结构可由生成函数（PGF）一次解出 [newman2001random]；Newman 的键渗流映射进一步把"最终有多少人被感染"化归为"占据概率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下的巨簇有多大" [newman2002spread]。这一映射的适用边界——传染期分布异质时逐边占据不再独立——随后由 Kenah 与 Robins 厘清 [kenah2007]，其物理根源可上溯到一般流行过程与动力学渗流的等价性 [grassberger1983]。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用成对近似写出随机网络上 SIR 的低维闭合 [volz2008]，Miller 等将其整理为边基房室模型（EBCM）：以"沿一条边尚未传来感染"的概率作为唯一闭合变量，用少数几个常微分方程复现整条流行曲线，并可容纳非指数康复 [miller2012ebcm]；后者的重要性在于，非马尔可夫的传染/康复期会显著移动阈值 [vanmieghem2013]。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两条路径分工明确、结论互洽：渗流给阈值与终态，方程给峰值与时间演化，二者在成对网络上已被反复交叉验证 [pastorsatorras2015]。</w:t>
      </w:r>
      <w:r>
        <w:rPr>
          <w:rFonts w:ascii="Times New Roman" w:cs="Times New Roman" w:eastAsia="SimSun" w:hAnsi="Times New Roman"/>
          <w:b/>
          <w:bCs/>
        </w:rPr>
        <w:t xml:space="preserve">本文要做的，正是把这套双轨结构搬到有向超图上。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方向性在成对网络上已经是一个动力学旋钮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方向性早已进入上述框架。有向随机图的巨强连通分支由入/出度联合 PGF 决定 [dorogovtsev2001giant]；广义有向渗流给出了 in-component 与 out-component 的完整刻画 [boguna2005directed]；Meyers 等把它直接用于有向接触网络上的流行预测 [meyers2006directed]。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更关键的是</w:t>
      </w:r>
      <w:r>
        <w:rPr>
          <w:rFonts w:ascii="Times New Roman" w:cs="Times New Roman" w:eastAsia="SimSun" w:hAnsi="Times New Roman"/>
          <w:b/>
          <w:bCs/>
        </w:rPr>
        <w:t xml:space="preserve">入出度相关性本身会移动阈值</w:t>
      </w:r>
      <w:r>
        <w:rPr>
          <w:rFonts w:ascii="Times New Roman" w:cs="Times New Roman" w:eastAsia="SimSun" w:hAnsi="Times New Roman"/>
        </w:rPr>
        <w:t xml:space="preserve">：Xu 等在有向成对网络上发现，正的入出度相关使系统对传染更稳健，负相关则使其更脆弱 [xu2018directionality]。这一效应与无向网络中度—度同配性的作用 [newman2002assortative] 机制不同，不能互相替代。也就是说，在成对世界里，"方向"与"入出度相关"都不是记号上的装饰，而是能定量移动爆发阈值的结构自由度。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高阶传播进展迅速，但几乎全是无向的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过去数年，传播研究的重心转向高阶交互：许多传染并非沿一条条边逐个发生，而是在一个群体内一次性发生 [battiston2020, battiston2021]。这条线上的结论已经相当丰富：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单纯复形上的社会传播中，群体强化可把连续相变变为不连续相变并带来滞后 [iacopini2019]；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超图上的传播模型把群体规模、群体阈值与非线性感染核纳入统一框架 [dearruda2020, stonge2021prl]，并与经典的阈值型复杂传播 [watts2002, centola2007] 接轨；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度与超边基数的异质性可以定性改变相变类型 [landry2020]，并决定哪些群体最适合作为种子 [stonge2022]；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超核（hyper-core）与高阶连通分支被识别为决定局域化与传播命运的结构量 [mancastroppa2023, kim2024components]；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超边之间的</w:t>
      </w:r>
      <w:r>
        <w:rPr>
          <w:rFonts w:ascii="Times New Roman" w:cs="Times New Roman" w:eastAsia="SimSun" w:hAnsi="Times New Roman"/>
          <w:b/>
          <w:bCs/>
        </w:rPr>
        <w:t xml:space="preserve">重叠</w:t>
      </w:r>
      <w:r>
        <w:rPr>
          <w:rFonts w:ascii="Times New Roman" w:cs="Times New Roman" w:eastAsia="SimSun" w:hAnsi="Times New Roman"/>
        </w:rPr>
        <w:t xml:space="preserve">被证明是驱动爆炸式转变的关键结构量 [malizia2025overlap]；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渗流一侧亦已建立：超图渗流的一般理论 [bianconi2024percolation]、多重超图上的高阶渗流 [sun2021multiplex]、以及三元相互作用下的动态渗流 [sun2023triadic]。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该领域已有系统综述 [dearruda2024review]。但这些工作</w:t>
      </w:r>
      <w:r>
        <w:rPr>
          <w:rFonts w:ascii="Times New Roman" w:cs="Times New Roman" w:eastAsia="SimSun" w:hAnsi="Times New Roman"/>
          <w:b/>
          <w:bCs/>
        </w:rPr>
        <w:t xml:space="preserve">几乎无一例外地共享同一前提：超边是无向的</w:t>
      </w:r>
      <w:r>
        <w:rPr>
          <w:rFonts w:ascii="Times New Roman" w:cs="Times New Roman" w:eastAsia="SimSun" w:hAnsi="Times New Roman"/>
        </w:rPr>
        <w:t xml:space="preserve">——一条超边内的所有节点对称地相互施加影响。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空白：结构已经有向化，动力学还没有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现实中的高阶交互往往是不对称的。代谢与化学反应网络天然由底物集指向产物集 [klamt2009]；引用与合作数据中，"一组作者引用一组文献"同样是尾→头的 [benson2018]；有向超图作为数据结构在运筹与算法领域已有三十余年历史 [gallo1993]。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真正的转折发生在最近两年——</w:t>
      </w:r>
      <w:r>
        <w:rPr>
          <w:rFonts w:ascii="Times New Roman" w:cs="Times New Roman" w:eastAsia="SimSun" w:hAnsi="Times New Roman"/>
          <w:b/>
          <w:bCs/>
        </w:rPr>
        <w:t xml:space="preserve">有向超图的结构侧正在被迅速补齐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真实有向超图的微观组织（超边指纹、高阶互惠性、有向 motif）已在比特币交易、代谢网络与引用数据上被系统刻画 [lotito2026directed]；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谱中心性的有向/异质推广已经展开 [contrerasaso2024beyond]；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保持入/出度序列的有向超图均匀采样 [kraakman2026sampling] 与非退化零模型 [abuissa2026dinghy] 已经可用；无向侧的位形模型 [chodrow2020] 与保度保相关随机化 [nakajima2022randomizing] 更早就有；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高阶相关性（含时序记忆）的测量工具也已成型 [gallo2024memory]。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结构工具齐了，</w:t>
      </w:r>
      <w:r>
        <w:rPr>
          <w:rFonts w:ascii="Times New Roman" w:cs="Times New Roman" w:eastAsia="SimSun" w:hAnsi="Times New Roman"/>
          <w:b/>
          <w:bCs/>
        </w:rPr>
        <w:t xml:space="preserve">动力学理论却还是空的</w:t>
      </w:r>
      <w:r>
        <w:rPr>
          <w:rFonts w:ascii="Times New Roman" w:cs="Times New Roman" w:eastAsia="SimSun" w:hAnsi="Times New Roman"/>
        </w:rPr>
        <w:t xml:space="preserve">。据我们检索，尚无工作在有向超图上给出 SIR 的含时方程理论或渗流阈值理论。于是下面两个问题都还没有答案：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(Q1)</w:t>
      </w:r>
      <w:r>
        <w:rPr>
          <w:rFonts w:ascii="Times New Roman" w:cs="Times New Roman" w:eastAsia="SimSun" w:hAnsi="Times New Roman"/>
          <w:color w:val="3A4A5A"/>
        </w:rPr>
        <w:t xml:space="preserve"> 尾集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→ 头集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的方向性如何进入高阶传播的爆发阈值？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(Q2)</w:t>
      </w:r>
      <w:r>
        <w:rPr>
          <w:rFonts w:ascii="Times New Roman" w:cs="Times New Roman" w:eastAsia="SimSun" w:hAnsi="Times New Roman"/>
          <w:color w:val="3A4A5A"/>
        </w:rPr>
        <w:t xml:space="preserve"> 当"入出度相关"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color w:val="3A4A5A"/>
        </w:rPr>
        <w:t xml:space="preserve"> 与"阶间重叠"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Times New Roman" w:cs="Times New Roman" w:eastAsia="SimSun" w:hAnsi="Times New Roman"/>
          <w:color w:val="3A4A5A"/>
        </w:rPr>
        <w:t xml:space="preserve">——这两个只有在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有向高阶</w:t>
      </w:r>
      <w:r>
        <w:rPr>
          <w:rFonts w:ascii="Times New Roman" w:cs="Times New Roman" w:eastAsia="SimSun" w:hAnsi="Times New Roman"/>
          <w:color w:val="3A4A5A"/>
        </w:rPr>
        <w:t xml:space="preserve">结构中才能同时存在的自由度——被独立调节时，阈值与终态规模如何响应？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这两个问题不是把已有结果加一个箭头就能回答的。方向性一旦进入，"一条超边内部对称"这一前提失效：尾集的感染状态与头集的易感状态在演化中扮演不同角色，逐边占据概率不再对称，因而成对有向渗流的 in/out-component 分解 [boguna2005directed] 与无向超图渗流的自洽方程 [bianconi2024percolation] 都不能直接搬用。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本文的做法与贡献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我们在有向超图上沿两条</w:t>
      </w:r>
      <w:r>
        <w:rPr>
          <w:rFonts w:ascii="Times New Roman" w:cs="Times New Roman" w:eastAsia="SimSun" w:hAnsi="Times New Roman"/>
          <w:b/>
          <w:bCs/>
        </w:rPr>
        <w:t xml:space="preserve">互相独立</w:t>
      </w:r>
      <w:r>
        <w:rPr>
          <w:rFonts w:ascii="Times New Roman" w:cs="Times New Roman" w:eastAsia="SimSun" w:hAnsi="Times New Roman"/>
        </w:rPr>
        <w:t xml:space="preserve">的路径建立 SIR 理论，并证明二者在同一极限下相合：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C1（方程法）</w:t>
      </w:r>
      <w:r>
        <w:rPr>
          <w:rFonts w:ascii="Times New Roman" w:cs="Times New Roman" w:eastAsia="SimSun" w:hAnsi="Times New Roman"/>
        </w:rPr>
        <w:t xml:space="preserve"> 提出有向超图 SIR 的</w:t>
      </w:r>
      <w:r>
        <w:rPr>
          <w:rFonts w:ascii="Times New Roman" w:cs="Times New Roman" w:eastAsia="SimSun" w:hAnsi="Times New Roman"/>
          <w:b/>
          <w:bCs/>
        </w:rPr>
        <w:t xml:space="preserve">并发型 EBCM</w:t>
      </w:r>
      <w:r>
        <w:rPr>
          <w:rFonts w:ascii="Times New Roman" w:cs="Times New Roman" w:eastAsia="SimSun" w:hAnsi="Times New Roman"/>
        </w:rPr>
        <w:t xml:space="preserve"> 方程。关键困难在于一个头节点同时承受多条超边、多个尾成员的并发压力，闭合变量不能简单相乘；我们给出闭合方案、在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Cambria Math" w:eastAsia="SimSun" w:hAnsi="Cambria Math"/>
          <w:i w:val="false"/>
          <w:iCs w:val="false"/>
        </w:rPr>
        <w:t xml:space="preserve">=1,2</w:t>
      </w:r>
      <w:r>
        <w:rPr>
          <w:rFonts w:ascii="Times New Roman" w:cs="Times New Roman" w:eastAsia="SimSun" w:hAnsi="Times New Roman"/>
        </w:rPr>
        <w:t xml:space="preserve"> 手推验证，并用精确 Gillespie 仿真 [gillespie1977] 在阈值邻域校验。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C2（渗流法）</w:t>
      </w:r>
      <w:r>
        <w:rPr>
          <w:rFonts w:ascii="Times New Roman" w:cs="Times New Roman" w:eastAsia="SimSun" w:hAnsi="Times New Roman"/>
        </w:rPr>
        <w:t xml:space="preserve"> 建立 SIR → 有向超图渗流的映射与 PGF 阈值理论，给出阈值随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的（半）解析依赖。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C3（数值工具）</w:t>
      </w:r>
      <w:r>
        <w:rPr>
          <w:rFonts w:ascii="Times New Roman" w:cs="Times New Roman" w:eastAsia="SimSun" w:hAnsi="Times New Roman"/>
        </w:rPr>
        <w:t xml:space="preserve"> 给出</w:t>
      </w:r>
      <w:r>
        <w:rPr>
          <w:rFonts w:ascii="Times New Roman" w:cs="Times New Roman" w:eastAsia="SimSun" w:hAnsi="Times New Roman"/>
          <w:b/>
          <w:bCs/>
        </w:rPr>
        <w:t xml:space="preserve">以目标结构量为靶的</w:t>
      </w:r>
      <w:r>
        <w:rPr>
          <w:rFonts w:ascii="Times New Roman" w:cs="Times New Roman" w:eastAsia="SimSun" w:hAnsi="Times New Roman"/>
        </w:rPr>
        <w:t xml:space="preserve">严格保度重连工具链：在逐节点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完全不变的前提下，把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调到指定值，从而做受控扫描而非事后观测。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C4（现象）</w:t>
      </w:r>
      <w:r>
        <w:rPr>
          <w:rFonts w:ascii="Times New Roman" w:cs="Times New Roman" w:eastAsia="SimSun" w:hAnsi="Times New Roman"/>
        </w:rPr>
        <w:t xml:space="preserve"> 刻画</w:t>
      </w:r>
      <w:r>
        <w:rPr>
          <w:rFonts w:ascii="Times New Roman" w:cs="Times New Roman" w:eastAsia="SimSun" w:hAnsi="Times New Roman"/>
          <w:b/>
          <w:bCs/>
        </w:rPr>
        <w:t xml:space="preserve">方向对称性破缺</w:t>
      </w:r>
      <w:r>
        <w:rPr>
          <w:rFonts w:ascii="Times New Roman" w:cs="Times New Roman" w:eastAsia="SimSun" w:hAnsi="Times New Roman"/>
        </w:rPr>
        <w:t xml:space="preserve">：翻转全部超边方向后爆发规模不守恒，并给出机制层面的解释与（拟）判据。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C5（统一）</w:t>
      </w:r>
      <w:r>
        <w:rPr>
          <w:rFonts w:ascii="Times New Roman" w:cs="Times New Roman" w:eastAsia="SimSun" w:hAnsi="Times New Roman"/>
        </w:rPr>
        <w:t xml:space="preserve"> 证明 C1 的自洽方程与 C2 的 PGF 方程在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 w:val="false"/>
          <w:iCs w:val="false"/>
        </w:rPr>
        <w:t xml:space="preserve">0</w:t>
      </w:r>
      <w:r>
        <w:rPr>
          <w:rFonts w:ascii="Times New Roman" w:cs="Times New Roman" w:eastAsia="SimSun" w:hAnsi="Times New Roman"/>
        </w:rPr>
        <w:t xml:space="preserve"> 极限下同构，因而给出同一阈值——这是本文把两套方法缝合成一篇论文而非两篇论文的技术支点。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I.2 与已有工作的边界声明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本节的目的只有一个：</w:t>
      </w:r>
      <w:r>
        <w:rPr>
          <w:rFonts w:ascii="Times New Roman" w:cs="Times New Roman" w:eastAsia="SimSun" w:hAnsi="Times New Roman"/>
          <w:b/>
          <w:bCs/>
        </w:rPr>
        <w:t xml:space="preserve">逐条划清增量，防止审稿人把本文读成"某已有结果的有向推广"。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对照对象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已有工作给了什么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本文的增量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无向高阶 SIR/SIS</w:t>
            </w:r>
            <w:r>
              <w:rPr>
                <w:rFonts w:ascii="Times New Roman" w:cs="Times New Roman" w:eastAsia="SimSun" w:hAnsi="Times New Roman"/>
              </w:rPr>
              <w:t xml:space="preserve"> [iacopini2019, dearruda2020, landry2020, stonge2022, dearruda2024review]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群体阈值、非线性感染核、异质性导致的相变类型改变——全部在"超边内部对称"前提下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引入尾/头分离后，超边内部对称性被打破，产生两个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在无向情形下不存在</w:t>
            </w:r>
            <w:r>
              <w:rPr>
                <w:rFonts w:ascii="Times New Roman" w:cs="Times New Roman" w:eastAsia="SimSun" w:hAnsi="Times New Roman"/>
              </w:rPr>
              <w:t xml:space="preserve">的结构自由度：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与方向化重叠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⇉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/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⇄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有向成对网络传播</w:t>
            </w:r>
            <w:r>
              <w:rPr>
                <w:rFonts w:ascii="Times New Roman" w:cs="Times New Roman" w:eastAsia="SimSun" w:hAnsi="Times New Roman"/>
              </w:rPr>
              <w:t xml:space="preserve"> [meyers2006directed, boguna2005directed, xu2018directionality]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有向渗流的 in/out-component 分解；入出度相关影响阈值（正相关更稳健）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加入高阶机制（群体阈值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Times New Roman" w:cs="Times New Roman" w:eastAsia="SimSun" w:hAnsi="Times New Roman"/>
              </w:rPr>
              <w:t xml:space="preserve"> / 剂量累积）。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的效应在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≥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2</w:t>
            </w:r>
            <w:r>
              <w:rPr>
                <w:rFonts w:ascii="Times New Roman" w:cs="Times New Roman" w:eastAsia="SimSun" w:hAnsi="Times New Roman"/>
              </w:rPr>
              <w:t xml:space="preserve"> 时不能由成对结果外推，因为一个头节点是否被感染取决于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多个尾成员的联合状态</w:t>
            </w:r>
            <w:r>
              <w:rPr>
                <w:rFonts w:ascii="Times New Roman" w:cs="Times New Roman" w:eastAsia="SimSun" w:hAnsi="Times New Roman"/>
              </w:rPr>
              <w:t xml:space="preserve">，而非单条边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无向超图渗流</w:t>
            </w:r>
            <w:r>
              <w:rPr>
                <w:rFonts w:ascii="Times New Roman" w:cs="Times New Roman" w:eastAsia="SimSun" w:hAnsi="Times New Roman"/>
              </w:rPr>
              <w:t xml:space="preserve"> [bianconi2024percolation, sun2021multiplex, sun2023triadic]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超图渗流的自洽方程与临界性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占据规则变为单向（尾→头），自洽方程从单变量变为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入/出双分支耦合</w:t>
            </w:r>
            <w:r>
              <w:rPr>
                <w:rFonts w:ascii="Times New Roman" w:cs="Times New Roman" w:eastAsia="SimSun" w:hAnsi="Times New Roman"/>
              </w:rPr>
              <w:t xml:space="preserve">；并给出与之配套的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含时</w:t>
            </w:r>
            <w:r>
              <w:rPr>
                <w:rFonts w:ascii="Times New Roman" w:cs="Times New Roman" w:eastAsia="SimSun" w:hAnsi="Times New Roman"/>
              </w:rPr>
              <w:t xml:space="preserve">方程法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超边重叠驱动的爆炸式转变</w:t>
            </w:r>
            <w:r>
              <w:rPr>
                <w:rFonts w:ascii="Times New Roman" w:cs="Times New Roman" w:eastAsia="SimSun" w:hAnsi="Times New Roman"/>
              </w:rPr>
              <w:t xml:space="preserve"> [malizia2025overlap]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超边重叠是驱动不连续转变的关键量（无向）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把重叠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按方向分解</w:t>
            </w:r>
            <w:r>
              <w:rPr>
                <w:rFonts w:ascii="Times New Roman" w:cs="Times New Roman" w:eastAsia="SimSun" w:hAnsi="Times New Roman"/>
              </w:rPr>
              <w:t xml:space="preserve">为同向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⇉</w:t>
            </w:r>
            <w:r>
              <w:rPr>
                <w:rFonts w:ascii="Times New Roman" w:cs="Times New Roman" w:eastAsia="SimSun" w:hAnsi="Times New Roman"/>
              </w:rPr>
              <w:t xml:space="preserve"> 与反向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⇄</w:t>
            </w:r>
            <w:r>
              <w:rPr>
                <w:rFonts w:ascii="Times New Roman" w:cs="Times New Roman" w:eastAsia="SimSun" w:hAnsi="Times New Roman"/>
              </w:rPr>
              <w:t xml:space="preserve">，并指出二者对阈值的作用可以反号——这在无向情形下无从定义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超图位形模型 / 零模型 / 采样</w:t>
            </w:r>
            <w:r>
              <w:rPr>
                <w:rFonts w:ascii="Times New Roman" w:cs="Times New Roman" w:eastAsia="SimSun" w:hAnsi="Times New Roman"/>
              </w:rPr>
              <w:t xml:space="preserve"> [chodrow2020, nakajima2022randomizing, kraakman2026sampling, abuissa2026dinghy]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无向超图的位形模型与保相关随机化；有向超图保入/出度序列的均匀采样与非退化零模型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本文的重连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不是</w:t>
            </w:r>
            <w:r>
              <w:rPr>
                <w:rFonts w:ascii="Times New Roman" w:cs="Times New Roman" w:eastAsia="SimSun" w:hAnsi="Times New Roman"/>
              </w:rPr>
              <w:t xml:space="preserve">又一个零模型采样器：它是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以 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、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 为目标的定向重连</w:t>
            </w:r>
            <w:r>
              <w:rPr>
                <w:rFonts w:ascii="Times New Roman" w:cs="Times New Roman" w:eastAsia="SimSun" w:hAnsi="Times New Roman"/>
              </w:rPr>
              <w:t xml:space="preserve">，用于在保度约束下生成一整条结构扫描线，供动力学实验使用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有向超图结构刻画</w:t>
            </w:r>
            <w:r>
              <w:rPr>
                <w:rFonts w:ascii="Times New Roman" w:cs="Times New Roman" w:eastAsia="SimSun" w:hAnsi="Times New Roman"/>
              </w:rPr>
              <w:t xml:space="preserve"> [lotito2026directed, contrerasaso2024beyond]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真实有向超图的指纹、高阶互惠性、motif、谱中心性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从"结构长什么样"推进到"结构如何决定传播阈值"，并把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这两个可测量量与阈值定量挂钩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k-core / bootstrap 渗流</w:t>
            </w:r>
            <w:r>
              <w:rPr>
                <w:rFonts w:ascii="Times New Roman" w:cs="Times New Roman" w:eastAsia="SimSun" w:hAnsi="Times New Roman"/>
              </w:rPr>
              <w:t xml:space="preserve"> [dorogovtsev2006kcore, baxter2010bootstrap, kim2024components]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阈值型激活的渗流对应 bootstrap/k-core，相变级数与普通渗流不同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本文明确给出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双声明</w:t>
            </w:r>
            <w:r>
              <w:rPr>
                <w:rFonts w:ascii="Times New Roman" w:cs="Times New Roman" w:eastAsia="SimSun" w:hAnsi="Times New Roman"/>
              </w:rPr>
              <w:t xml:space="preserve">（见 IV.4）：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=1</w:t>
            </w:r>
            <w:r>
              <w:rPr>
                <w:rFonts w:ascii="Times New Roman" w:cs="Times New Roman" w:eastAsia="SimSun" w:hAnsi="Times New Roman"/>
              </w:rPr>
              <w:t xml:space="preserve"> 落回普通有向渗流巨簇；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≥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2</w:t>
            </w:r>
            <w:r>
              <w:rPr>
                <w:rFonts w:ascii="Times New Roman" w:cs="Times New Roman" w:eastAsia="SimSun" w:hAnsi="Times New Roman"/>
              </w:rPr>
              <w:t xml:space="preserve"> 落入 bootstrap/k-core 型，阈值与相变级数不同。二者不可混用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一句话边界：</w:t>
      </w:r>
      <w:r>
        <w:rPr>
          <w:rFonts w:ascii="Times New Roman" w:cs="Times New Roman" w:eastAsia="SimSun" w:hAnsi="Times New Roman"/>
        </w:rPr>
        <w:t xml:space="preserve"> 已有工作分别解决了"高阶但无向"的传播、"有向但成对"的传播、以及"有向超图的静态结构"；本文补的是三者的交集——</w:t>
      </w:r>
      <w:r>
        <w:rPr>
          <w:rFonts w:ascii="Times New Roman" w:cs="Times New Roman" w:eastAsia="SimSun" w:hAnsi="Times New Roman"/>
          <w:b/>
          <w:bCs/>
        </w:rPr>
        <w:t xml:space="preserve">有向超图上的传播动力学</w:t>
      </w:r>
      <w:r>
        <w:rPr>
          <w:rFonts w:ascii="Times New Roman" w:cs="Times New Roman" w:eastAsia="SimSun" w:hAnsi="Times New Roman"/>
        </w:rPr>
        <w:t xml:space="preserve">——并同时给出含时与终态两套互为验证的理论。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待办与风险（写作侧）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以下三点会影响 I.1/I.2 的最终措辞，需在定稿前处理：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的定义未定（大纲风险 2.2）。</w:t>
      </w:r>
      <w:r>
        <w:rPr>
          <w:rFonts w:ascii="Times New Roman" w:cs="Times New Roman" w:eastAsia="SimSun" w:hAnsi="Times New Roman"/>
        </w:rPr>
        <w:t xml:space="preserve"> 上表中"把重叠按方向分解"这一增量声明，目前是</w:t>
      </w:r>
      <w:r>
        <w:rPr>
          <w:rFonts w:ascii="Times New Roman" w:cs="Times New Roman" w:eastAsia="SimSun" w:hAnsi="Times New Roman"/>
          <w:b/>
          <w:bCs/>
        </w:rPr>
        <w:t xml:space="preserve">方向性的承诺而非已完成的定义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的可计算式（尾集内部两两节点方向的投影方式）定死之前，这一格只能这样写；定死之后应替换为精确表述。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C3 的表述必须收窄。</w:t>
      </w:r>
      <w:r>
        <w:rPr>
          <w:rFonts w:ascii="Times New Roman" w:cs="Times New Roman" w:eastAsia="SimSun" w:hAnsi="Times New Roman"/>
        </w:rPr>
        <w:t xml:space="preserve"> 大纲原文写的是"提出严格保度的有向超图生成/重连工具链"。这个表述已被文献超越：Kraakman &amp; Stegehuis [kraakman2026sampling] 给出了固定度的有向超图均匀采样，Abuissa 等 [abuissa2026dinghy] 给出了非退化有向超图零模型，Nakajima 等 [nakajima2022randomizing] 更早给出了保度保相关的无向超图随机化。</w:t>
      </w:r>
      <w:r>
        <w:rPr>
          <w:rFonts w:ascii="Times New Roman" w:cs="Times New Roman" w:eastAsia="SimSun" w:hAnsi="Times New Roman"/>
          <w:b/>
          <w:bCs/>
        </w:rPr>
        <w:t xml:space="preserve">"我们做了保度重连器"不能作为贡献声明</w:t>
      </w:r>
      <w:r>
        <w:rPr>
          <w:rFonts w:ascii="Times New Roman" w:cs="Times New Roman" w:eastAsia="SimSun" w:hAnsi="Times New Roman"/>
        </w:rPr>
        <w:t xml:space="preserve">；能站住的是"以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/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为靶的定向重连 + 用它做受控动力学扫描"。上文 C3 与边界表已按此收窄，建议正文与摘要同步改口径。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新颖性声明需最后一次全库扫描。</w:t>
      </w:r>
      <w:r>
        <w:rPr>
          <w:rFonts w:ascii="Times New Roman" w:cs="Times New Roman" w:eastAsia="SimSun" w:hAnsi="Times New Roman"/>
        </w:rPr>
        <w:t xml:space="preserve"> "尚无工作在有向超图上给出 SIR 方程/渗流理论"这一断言，本轮通过 CrossRef 全量检索 + 网络检索得到支持，但 Semantic Scholar 与 OpenAlex 在核验时触发限流（HTTP 429），未能做完整交叉确认。投稿前应重跑一次三库检索，并把 arXiv 近半年预印本纳入。目前正文已使用"据我们检索"的措辞，风险可控。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另需老师拍板：</w:t>
      </w:r>
      <w:r>
        <w:rPr>
          <w:rFonts w:ascii="Times New Roman" w:cs="Times New Roman" w:eastAsia="SimSun" w:hAnsi="Times New Roman"/>
        </w:rPr>
        <w:t xml:space="preserve"> 目标期刊（大纲 G-3）。本稿按"物理类专业刊（PRE / Communications Physics）"的篇幅与叙事密度写；若改投 Nature 系子刊，I.1 需压到 3–4 段、去掉分点列表，并把"为什么一般读者该关心方向性"提到第一段。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引用核验状态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全部 43 条参考文献已通过 </w:t>
      </w:r>
      <w:r>
        <w:rPr>
          <w:rFonts w:ascii="Consolas" w:eastAsia="SimSun" w:hAnsi="Consolas"/>
        </w:rPr>
        <w:t xml:space="preserve">cite-verify</w:t>
      </w:r>
      <w:r>
        <w:rPr>
          <w:rFonts w:ascii="Times New Roman" w:cs="Times New Roman" w:eastAsia="SimSun" w:hAnsi="Times New Roman"/>
        </w:rPr>
        <w:t xml:space="preserve"> 核验：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数量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verified（≥2 个独立数据库命中）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36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suspicious（仅 CrossRef 命中，因 S2/OpenAlex 限流）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not_found（疑似虚构）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0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7 条 suspicious 全部为</w:t>
      </w:r>
      <w:r>
        <w:rPr>
          <w:rFonts w:ascii="Times New Roman" w:cs="Times New Roman" w:eastAsia="SimSun" w:hAnsi="Times New Roman"/>
          <w:b/>
          <w:bCs/>
        </w:rPr>
        <w:t xml:space="preserve">限流造成的单源命中</w:t>
      </w:r>
      <w:r>
        <w:rPr>
          <w:rFonts w:ascii="Times New Roman" w:cs="Times New Roman" w:eastAsia="SimSun" w:hAnsi="Times New Roman"/>
        </w:rPr>
        <w:t xml:space="preserve">，其标题在 CrossRef 中相似度均为 100%；其中两条触发的红旗（</w:t>
      </w:r>
      <w:r>
        <w:rPr>
          <w:rFonts w:ascii="Consolas" w:eastAsia="SimSun" w:hAnsi="Consolas"/>
        </w:rPr>
        <w:t xml:space="preserve">pastorsatorras2001</w:t>
      </w:r>
      <w:r>
        <w:rPr>
          <w:rFonts w:ascii="Times New Roman" w:cs="Times New Roman" w:eastAsia="SimSun" w:hAnsi="Times New Roman"/>
        </w:rPr>
        <w:t xml:space="preserve"> 的"作者不匹配"、</w:t>
      </w:r>
      <w:r>
        <w:rPr>
          <w:rFonts w:ascii="Consolas" w:eastAsia="SimSun" w:hAnsi="Consolas"/>
        </w:rPr>
        <w:t xml:space="preserve">boguna2005directed</w:t>
      </w:r>
      <w:r>
        <w:rPr>
          <w:rFonts w:ascii="Times New Roman" w:cs="Times New Roman" w:eastAsia="SimSun" w:hAnsi="Times New Roman"/>
        </w:rPr>
        <w:t xml:space="preserve"> 的"单字作者名"）已手工回查 CrossRef 确认为误报——前者匹配到了同名书籍章节的作者拼写错误版本，后者是 LaTeX 重音转义（</w:t>
      </w:r>
      <w:r>
        <w:rPr>
          <w:rFonts w:ascii="Consolas" w:eastAsia="SimSun" w:hAnsi="Consolas"/>
        </w:rPr>
        <w:t xml:space="preserve">Bogu{\~n}{\'a}</w:t>
      </w:r>
      <w:r>
        <w:rPr>
          <w:rFonts w:ascii="Times New Roman" w:cs="Times New Roman" w:eastAsia="SimSun" w:hAnsi="Times New Roman"/>
        </w:rPr>
        <w:t xml:space="preserve">）导致的解析假象。参考文献见 </w:t>
      </w:r>
      <w:r>
        <w:rPr>
          <w:rFonts w:ascii="Consolas" w:eastAsia="SimSun" w:hAnsi="Consolas"/>
        </w:rPr>
        <w:t xml:space="preserve">references.bib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2026-08-07T14:30:11.983Z</dcterms:created>
  <dcterms:modified xsi:type="dcterms:W3CDTF">2026-08-07T14:30:11.983Z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