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0"/>
        <w:jc w:val="center"/>
      </w:pPr>
      <w:r>
        <w:rPr>
          <w:rFonts w:ascii="Times New Roman" w:cs="Times New Roman" w:eastAsia="SimSun" w:hAnsi="Times New Roman"/>
          <w:b/>
          <w:bCs/>
          <w:color w:val="1A1A1A"/>
          <w:sz w:val="32"/>
          <w:szCs w:val="32"/>
        </w:rPr>
        <w:t xml:space="preserve">I. 引言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在成对接触网络上，SIR 传播的理论已沿两条彼此独立的路径发展成熟。终态一侧由渗流承担：在二阶矩发散的无标度网络上，流行阈值趋于零 [1]；随机图的连通结构可由生成函数方法解析给出 [2]；而键渗流映射把最终感染规模化归为占据概率 </w:t>
      </w:r>
      <w:r>
        <w:rPr>
          <w:rFonts w:ascii="Cambria Math" w:eastAsia="SimSun" w:hAnsi="Cambria Math"/>
          <w:i w:val="false"/>
          <w:iCs w:val="false"/>
        </w:rPr>
        <w:t xml:space="preserve">φ</w:t>
      </w:r>
      <w:r>
        <w:rPr>
          <w:rFonts w:ascii="Times New Roman" w:cs="Times New Roman" w:eastAsia="SimSun" w:hAnsi="Times New Roman"/>
        </w:rPr>
        <w:t xml:space="preserve"> 下的巨簇规模 [3]。当传染期分布异质时，逐边的传播事件不再独立，该映射需要修正，其适用边界由 Kenah 与 Robins 厘清 [4]；映射本身则可上溯至一般流行过程与动力学渗流的等价性 [5]。含时一侧由方程法承担：Volz 用成对近似给出随机网络上 SIR 的低维闭合 [6]，Miller 等将其整理为边基房室模型（EBCM），以"沿一条边尚未传来感染"的概率为核心变量复现整条流行曲线，并可容纳非指数的康复期分布 [7]；这一推广并非细节，因为偏离马尔可夫假设会显著改变流行阈值 [8]。两条路径分工明确——渗流给出阈值与终态，方程给出峰值与时间演化——它们的相互印证构成了该框架的主要自洽性检验 [9]。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方向性早已进入这一框架。有向随机图的巨强连通分支由入出度联合生成函数决定 [10]，广义有向渗流给出 in-component 与 out-component 的完整刻画 [11]，并已直接用于有向接触网络上的流行预测 [12]。更重要的是，入出度相关这一结构量本身就会改变传播行为：在有向成对网络上，正的入出度相关使系统对传染更稳健，负相关则使其更脆弱 [13]。它与无向网络中的度—度同配性 [14] 并非同一件事——后者刻画相连节点之间度值的相似性，前者刻画同一节点两个方向的度值关系。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与此同时，传播研究的重心转向高阶交互——许多传染并非沿边逐个发生，而是在一个群体内集体发生 [15, 16]。群体强化可把连续相变变为不连续相变并带来滞后 [17]；群体规模、群体阈值与非线性感染核已被纳入统一框架 [18, 19]，与经典的阈值型复杂传播 [20, 21] 一脉相承；度与超边基数的异质性可定性改变相变类型 [22]，并决定哪些群体最适合作为种子 [23]；超核结构与高阶连通分支决定了传播的局域化与最终规模 [24, 25]。尤为关键的是，超边之间的重叠决定了转变是否爆炸式，且其作用方向值得注意：只有在阶内重叠较低时才出现爆炸性与双稳 [26]。重叠的组织方式可由一个超边重叠矩阵刻画，其对角元与非对角元分别对应阶内与阶间重叠 [27]，而阶间相关驱动系统沿不同路径走向爆炸式传播 [28]。超图上的渗流理论亦已建立 [29, 30]，相关进展见综述 [31]。这些工作共享同一前提：超边是无向的，一条超边内的所有节点对称地相互施加影响。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然而现实中的高阶交互往往是有向的——施加影响的一方与接受影响的一方并不对称。代谢与化学反应把一组底物转化为一组产物 [32]；引用行为由一组作者指向一组被引文献 [33]。有向超图正是为刻画这种不对称而设的形式化：每条超边分为施加影响的尾集与接受影响的头集，这一结构在算法与运筹领域已使用三十余年 [34]。针对它的结构刻画工具近年迅速成型：真实有向超图的微观组织、高阶互惠性与 motif 已被系统刻画 [35, 36]，无向超图中超边重叠的测度与生成器亦已给出 [37]；位形模型与保度随机化在无向超图上已有成熟实现 [38, 39]，保入出度序列的均匀采样与非退化零模型在有向超图上也已可用 [40, 41]。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动力学一侧则由 Li 等开启。他们在有向超图上建立社会传播模型，发现不连续相变的双稳区间随有向强度减弱而收缩，表明方向性确实改变高阶传播的相变结构 [42]。该工作采用按超度分类的均场闭合，不涉及渗流，其方向性由单一标量强度参数调节。均场忽略邻域相关，误差在阈值邻域最大；在成对网络上，正是 EBCM 补上了这一层 [6, 7]。因此，有向超图上的传播阈值究竟如何依赖于结构相关，目前既没有超出均场的含时理论，也没有可用于解析扫描的渗流理论。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本文沿方程与渗流两条路径推进这一问题，并证明二者在同一极限下相合。方程一侧，我们提出有向超图 SIR 的并发型 EBCM 方程；其技术困难在于一个头节点同时承受多条超边、多个尾成员的并发压力，闭合变量不能简单相乘。我们给出闭合方案，在尾集基数 </w:t>
      </w:r>
      <w:r>
        <w:rPr>
          <w:rFonts w:ascii="Cambria Math" w:eastAsia="SimSun" w:hAnsi="Cambria Math"/>
          <w:i w:val="false"/>
          <w:iCs w:val="false"/>
        </w:rPr>
        <w:t xml:space="preserve">τ=1,2</w:t>
      </w:r>
      <w:r>
        <w:rPr>
          <w:rFonts w:ascii="Times New Roman" w:cs="Times New Roman" w:eastAsia="SimSun" w:hAnsi="Times New Roman"/>
        </w:rPr>
        <w:t xml:space="preserve"> 的可控情形下手推验证，并以精确 Gillespie 仿真 [43] 在阈值邻域校验，从而定量给出边基闭合相对均场的增益。渗流一侧，我们把成对网络上成熟的 SIR–渗流映射 [3, 4] 与有向渗流的生成函数机制 [10, 11] 推广到有向超图，得到爆发阈值随结构参数变化的半解析依赖。两条路径互不依赖，因而可互为验证；我们进一步证明二者的自洽方程在 </w:t>
      </w:r>
      <w:r>
        <w:rPr>
          <w:rFonts w:ascii="Cambria Math" w:eastAsia="SimSun" w:hAnsi="Cambria Math"/>
          <w:i w:val="false"/>
          <w:iCs w:val="false"/>
        </w:rPr>
        <w:t xml:space="preserve">μ→0</w:t>
      </w:r>
      <w:r>
        <w:rPr>
          <w:rFonts w:ascii="Times New Roman" w:cs="Times New Roman" w:eastAsia="SimSun" w:hAnsi="Times New Roman"/>
        </w:rPr>
        <w:t xml:space="preserve"> 极限下同构，给出同一阈值。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为使结构依赖可被受控地检验，我们给出有向超边重叠的可计算定义。对每一对有序超边构造 </w:t>
      </w:r>
      <w:r>
        <w:rPr>
          <w:rFonts w:ascii="Cambria Math" w:eastAsia="SimSun" w:hAnsi="Cambria Math"/>
          <w:i w:val="false"/>
          <w:iCs w:val="false"/>
        </w:rPr>
        <w:t xml:space="preserve">2×2</w:t>
      </w:r>
      <w:r>
        <w:rPr>
          <w:rFonts w:ascii="Times New Roman" w:cs="Times New Roman" w:eastAsia="SimSun" w:hAnsi="Times New Roman"/>
        </w:rPr>
        <w:t xml:space="preserve"> 重叠列联矩阵，其四个通道分别对应共享节点在两条超边中同为尾成员、同为头成员、或一为头一为尾（两个方向各一个通道）。按阶聚合后得到一个张量，其阶对角块与非对角块分别对应已有的阶内与阶间重叠 [26, 27]；对任意一对超边，四个通道之和精确等于无向情形下的重叠，因此本文结果可与无向文献直接对照。互惠通道直接采用文献中的强互惠判据 [35]。在此定义下，我们在严格保持逐节点入出度的约束下，运行以入出度相关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与重叠 </w:t>
      </w:r>
      <w:r>
        <w:rPr>
          <w:rFonts w:ascii="Cambria Math" w:eastAsia="SimSun" w:hAnsi="Cambria Math"/>
          <w:i w:val="false"/>
          <w:iCs w:val="false"/>
        </w:rPr>
        <w:t xml:space="preserve">α</w:t>
      </w:r>
      <w:r>
        <w:rPr>
          <w:rFonts w:ascii="Times New Roman" w:cs="Times New Roman" w:eastAsia="SimSun" w:hAnsi="Times New Roman"/>
        </w:rPr>
        <w:t xml:space="preserve"> 为目标的定向重连，从而沿单一结构坐标做受控扫描；零模型基线取自已有的均匀采样器 [40, 41]。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这里先指出一个与直觉相反的结果。全局方向翻转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是结构空间上的对合；若生成系综在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下不变，则爆发规模的系综平均在方向翻转下必然不变。因此方向对称性破缺要求某个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-奇不变量非零。而入出度相关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在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Times New Roman" w:cs="Times New Roman" w:eastAsia="SimSun" w:hAnsi="Times New Roman"/>
        </w:rPr>
        <w:t xml:space="preserve"> 下是偶的——方向翻转互换每个节点的入度与出度，而相关系数对其两个变量对称。这意味着单独调节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不可能产生系综层面的方向不对称，尽管它确实移动阈值。破缺的最低阶来源是共发重叠与共收重叠之差 </w:t>
      </w:r>
      <w:r>
        <w:rPr>
          <w:rFonts w:ascii="Cambria Math" w:eastAsia="SimSun" w:hAnsi="Cambria Math"/>
          <w:i w:val="false"/>
          <w:iCs w:val="false"/>
        </w:rPr>
        <w:t xml:space="preserve">Δα</w:t>
      </w:r>
      <w:r>
        <w:rPr>
          <w:rFonts w:ascii="Times New Roman" w:cs="Times New Roman" w:eastAsia="SimSun" w:hAnsi="Times New Roman"/>
        </w:rPr>
        <w:t xml:space="preserve">。我们据此设计破缺实验，并给出 </w:t>
      </w:r>
      <w:r>
        <w:rPr>
          <w:rFonts w:ascii="Cambria Math" w:eastAsia="SimSun" w:hAnsi="Cambria Math"/>
          <w:i/>
          <w:iCs/>
        </w:rPr>
        <w:t xml:space="preserve">r</w:t>
      </w:r>
      <w:r>
        <w:rPr>
          <w:rFonts w:ascii="Cambria Math" w:eastAsia="SimSun" w:hAnsi="Cambria Math"/>
          <w:i w:val="false"/>
          <w:iCs w:val="false"/>
          <w:vertAlign w:val="subscript"/>
        </w:rPr>
        <w:t xml:space="preserve">io</w:t>
      </w:r>
      <w:r>
        <w:rPr>
          <w:rFonts w:ascii="Times New Roman" w:cs="Times New Roman" w:eastAsia="SimSun" w:hAnsi="Times New Roman"/>
        </w:rPr>
        <w:t xml:space="preserve"> 扫描下无破缺的阴性对照。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还需说明一点：当群体阈值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时，模型落入 bootstrap 与 </w:t>
      </w:r>
      <w:r>
        <w:rPr>
          <w:rFonts w:ascii="Cambria Math" w:eastAsia="SimSun" w:hAnsi="Cambria Math"/>
          <w:i/>
          <w:iCs/>
        </w:rPr>
        <w:t xml:space="preserve">k</w:t>
      </w:r>
      <w:r>
        <w:rPr>
          <w:rFonts w:ascii="Times New Roman" w:cs="Times New Roman" w:eastAsia="SimSun" w:hAnsi="Times New Roman"/>
        </w:rPr>
        <w:t xml:space="preserve">-core 型渗流，其阈值与相变级数均不同于普通渗流 [44, 45]。本文对 </w:t>
      </w:r>
      <w:r>
        <w:rPr>
          <w:rFonts w:ascii="Cambria Math" w:eastAsia="SimSun" w:hAnsi="Cambria Math"/>
          <w:i w:val="false"/>
          <w:iCs w:val="false"/>
        </w:rPr>
        <w:t xml:space="preserve">θ=1</w:t>
      </w:r>
      <w:r>
        <w:rPr>
          <w:rFonts w:ascii="Times New Roman" w:cs="Times New Roman" w:eastAsia="SimSun" w:hAnsi="Times New Roman"/>
        </w:rPr>
        <w:t xml:space="preserve"> 与 </w:t>
      </w:r>
      <w:r>
        <w:rPr>
          <w:rFonts w:ascii="Cambria Math" w:eastAsia="SimSun" w:hAnsi="Cambria Math"/>
          <w:i w:val="false"/>
          <w:iCs w:val="false"/>
        </w:rPr>
        <w:t xml:space="preserve">θ≥2</w:t>
      </w:r>
      <w:r>
        <w:rPr>
          <w:rFonts w:ascii="Times New Roman" w:cs="Times New Roman" w:eastAsia="SimSun" w:hAnsi="Times New Roman"/>
        </w:rPr>
        <w:t xml:space="preserve"> 分别处理。</w:t>
      </w:r>
    </w:p>
    <w:p>
      <w:pPr>
        <w:spacing w:after="120" w:before="120" w:line="320"/>
        <w:jc w:val="both"/>
      </w:pPr>
      <w:r>
        <w:rPr>
          <w:rFonts w:ascii="Times New Roman" w:cs="Times New Roman" w:eastAsia="SimSun" w:hAnsi="Times New Roman"/>
        </w:rPr>
        <w:t xml:space="preserve">本文余下部分安排如下。第 II 节给出有向超图与 SIR 动力学的定义，以及有向超边重叠的可计算形式。第 III 节推导并发型 EBCM 方程并给出仿真校验。第 IV 节建立 SIR 到有向超图渗流的映射与生成函数阈值理论。第 V 节介绍保度生成与定向重连工具。第 VI 节给出阈值对结构参数的依赖、方向对称性破缺，以及两方法的交叉验证。第 VII 节在真实有向超图数据上检验模型。第 VIII 节为讨论与结论。</w:t>
      </w:r>
    </w:p>
    <w:p>
      <w:pPr>
        <w:pBdr>
          <w:bottom w:val="single" w:color="BBBBBB" w:sz="6" w:space="1"/>
        </w:pBdr>
        <w:spacing w:after="200" w:before="80"/>
      </w:pPr>
    </w:p>
    <w:p>
      <w:pPr>
        <w:pStyle w:val="Heading2"/>
        <w:spacing w:after="160" w:before="300"/>
      </w:pPr>
      <w:r>
        <w:rPr>
          <w:rFonts w:ascii="Times New Roman" w:cs="Times New Roman" w:eastAsia="SimSun" w:hAnsi="Times New Roman"/>
          <w:b/>
          <w:bCs/>
          <w:color w:val="1A1A1A"/>
          <w:sz w:val="26"/>
          <w:szCs w:val="26"/>
        </w:rPr>
        <w:t xml:space="preserve">参考文献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A. Vespignani,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86</w:t>
      </w:r>
      <w:r>
        <w:rPr>
          <w:rFonts w:ascii="Times New Roman" w:cs="Times New Roman" w:eastAsia="SimSun" w:hAnsi="Times New Roman"/>
        </w:rPr>
        <w:t xml:space="preserve">, 3200–3203 (2001). doi:10.1103/PhysRevLett.86.3200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S. H. Strogatz, D. J. Watts,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026118 (2001). doi:10.1103/PhysRevE.64.026118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66</w:t>
      </w:r>
      <w:r>
        <w:rPr>
          <w:rFonts w:ascii="Times New Roman" w:cs="Times New Roman" w:eastAsia="SimSun" w:hAnsi="Times New Roman"/>
        </w:rPr>
        <w:t xml:space="preserve">, 016128 (2002). doi:10.1103/PhysRevE.66.016128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Kenah, J. M. Robins,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76</w:t>
      </w:r>
      <w:r>
        <w:rPr>
          <w:rFonts w:ascii="Times New Roman" w:cs="Times New Roman" w:eastAsia="SimSun" w:hAnsi="Times New Roman"/>
        </w:rPr>
        <w:t xml:space="preserve">, 036113 (2007). doi:10.1103/PhysRevE.76.036113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Grassberger, </w:t>
      </w:r>
      <w:r>
        <w:rPr>
          <w:rFonts w:ascii="Times New Roman" w:cs="Times New Roman" w:eastAsia="SimSun" w:hAnsi="Times New Roman"/>
          <w:i/>
          <w:iCs/>
        </w:rPr>
        <w:t xml:space="preserve">Mathematical Biosciences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63</w:t>
      </w:r>
      <w:r>
        <w:rPr>
          <w:rFonts w:ascii="Times New Roman" w:cs="Times New Roman" w:eastAsia="SimSun" w:hAnsi="Times New Roman"/>
        </w:rPr>
        <w:t xml:space="preserve">, 157–172 (1983). doi:10.1016/0025-5564(82)90036-0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E. Volz, </w:t>
      </w:r>
      <w:r>
        <w:rPr>
          <w:rFonts w:ascii="Times New Roman" w:cs="Times New Roman" w:eastAsia="SimSun" w:hAnsi="Times New Roman"/>
          <w:i/>
          <w:iCs/>
        </w:rPr>
        <w:t xml:space="preserve">Journal of Mathematical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56</w:t>
      </w:r>
      <w:r>
        <w:rPr>
          <w:rFonts w:ascii="Times New Roman" w:cs="Times New Roman" w:eastAsia="SimSun" w:hAnsi="Times New Roman"/>
        </w:rPr>
        <w:t xml:space="preserve">, 293–310 (2008). doi:10.1007/s00285-007-0116-4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C. Miller, A. C. Slim, E. M. Volz, </w:t>
      </w:r>
      <w:r>
        <w:rPr>
          <w:rFonts w:ascii="Times New Roman" w:cs="Times New Roman" w:eastAsia="SimSun" w:hAnsi="Times New Roman"/>
          <w:i/>
          <w:iCs/>
        </w:rPr>
        <w:t xml:space="preserve">Journal of the Royal Society Interface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890–906 (2012). doi:10.1098/rsif.2011.0403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Van Mieghem, R. van de Bovenkamp,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110</w:t>
      </w:r>
      <w:r>
        <w:rPr>
          <w:rFonts w:ascii="Times New Roman" w:cs="Times New Roman" w:eastAsia="SimSun" w:hAnsi="Times New Roman"/>
        </w:rPr>
        <w:t xml:space="preserve">, 108701 (2013). doi:10.1103/PhysRevLett.110.108701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R. Pastor-Satorras, C. Castellano, P. Van Mieghem, A. Vespignani, </w:t>
      </w:r>
      <w:r>
        <w:rPr>
          <w:rFonts w:ascii="Times New Roman" w:cs="Times New Roman" w:eastAsia="SimSun" w:hAnsi="Times New Roman"/>
          <w:i/>
          <w:iCs/>
        </w:rPr>
        <w:t xml:space="preserve">Reviews of Modern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</w:t>
      </w:r>
      <w:r>
        <w:rPr>
          <w:rFonts w:ascii="Times New Roman" w:cs="Times New Roman" w:eastAsia="SimSun" w:hAnsi="Times New Roman"/>
        </w:rPr>
        <w:t xml:space="preserve">, 925–979 (2015). doi:10.1103/RevModPhys.87.925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J. F. F. Mendes, A. N. Samukhin,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64</w:t>
      </w:r>
      <w:r>
        <w:rPr>
          <w:rFonts w:ascii="Times New Roman" w:cs="Times New Roman" w:eastAsia="SimSun" w:hAnsi="Times New Roman"/>
        </w:rPr>
        <w:t xml:space="preserve">, 025101 (2001). doi:10.1103/PhysRevE.64.025101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Boguñá, M. Á. Serrano,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72</w:t>
      </w:r>
      <w:r>
        <w:rPr>
          <w:rFonts w:ascii="Times New Roman" w:cs="Times New Roman" w:eastAsia="SimSun" w:hAnsi="Times New Roman"/>
        </w:rPr>
        <w:t xml:space="preserve">, 016106 (2005). doi:10.1103/PhysRevE.72.016106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L. A. Meyers, M. E. J. Newman, B. Pourbohloul, </w:t>
      </w:r>
      <w:r>
        <w:rPr>
          <w:rFonts w:ascii="Times New Roman" w:cs="Times New Roman" w:eastAsia="SimSun" w:hAnsi="Times New Roman"/>
          <w:i/>
          <w:iCs/>
        </w:rPr>
        <w:t xml:space="preserve">Journal of Theoretical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240</w:t>
      </w:r>
      <w:r>
        <w:rPr>
          <w:rFonts w:ascii="Times New Roman" w:cs="Times New Roman" w:eastAsia="SimSun" w:hAnsi="Times New Roman"/>
        </w:rPr>
        <w:t xml:space="preserve">, 400–418 (2006). doi:10.1016/j.jtbi.2005.10.004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X. J. Xu, J. Y. Li, X. Fu, L. J. Zhang, </w:t>
      </w:r>
      <w:r>
        <w:rPr>
          <w:rFonts w:ascii="Times New Roman" w:cs="Times New Roman" w:eastAsia="SimSun" w:hAnsi="Times New Roman"/>
          <w:i/>
          <w:iCs/>
        </w:rPr>
        <w:t xml:space="preserve">Scientific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 (2018). doi:10.1038/s41598-018-22508-1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E. J. Newman,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89</w:t>
      </w:r>
      <w:r>
        <w:rPr>
          <w:rFonts w:ascii="Times New Roman" w:cs="Times New Roman" w:eastAsia="SimSun" w:hAnsi="Times New Roman"/>
        </w:rPr>
        <w:t xml:space="preserve">, 208701 (2002). doi:10.1103/PhysRevLett.89.208701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G. Cencetti, I. Iacopini, V. Latora, M. Lucas, A. Patania, J. G. Young, G. Petri, </w:t>
      </w:r>
      <w:r>
        <w:rPr>
          <w:rFonts w:ascii="Times New Roman" w:cs="Times New Roman" w:eastAsia="SimSun" w:hAnsi="Times New Roman"/>
          <w:i/>
          <w:iCs/>
        </w:rPr>
        <w:t xml:space="preserve">Physics Reports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874</w:t>
      </w:r>
      <w:r>
        <w:rPr>
          <w:rFonts w:ascii="Times New Roman" w:cs="Times New Roman" w:eastAsia="SimSun" w:hAnsi="Times New Roman"/>
        </w:rPr>
        <w:t xml:space="preserve">, 1–92 (2020). doi:10.1016/j.physrep.2020.05.004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Battiston, E. Amico, A. Barrat, G. Bianconi, G. Ferraz de Arruda, B. Franceschiello, I. Iacopini, S. Kéfi et al., </w:t>
      </w:r>
      <w:r>
        <w:rPr>
          <w:rFonts w:ascii="Times New Roman" w:cs="Times New Roman" w:eastAsia="SimSun" w:hAnsi="Times New Roman"/>
          <w:i/>
          <w:iCs/>
        </w:rPr>
        <w:t xml:space="preserve">Nature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17</w:t>
      </w:r>
      <w:r>
        <w:rPr>
          <w:rFonts w:ascii="Times New Roman" w:cs="Times New Roman" w:eastAsia="SimSun" w:hAnsi="Times New Roman"/>
        </w:rPr>
        <w:t xml:space="preserve">, 1093–1098 (2021). doi:10.1038/s41567-021-01371-4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I. Iacopini, G. Petri, A. Barrat, V. Latora,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</w:t>
      </w:r>
      <w:r>
        <w:rPr>
          <w:rFonts w:ascii="Times New Roman" w:cs="Times New Roman" w:eastAsia="SimSun" w:hAnsi="Times New Roman"/>
        </w:rPr>
        <w:t xml:space="preserve">, 2485 (2019). doi:10.1038/s41467-019-10431-6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G. Petri, Y. Moreno, </w:t>
      </w:r>
      <w:r>
        <w:rPr>
          <w:rFonts w:ascii="Times New Roman" w:cs="Times New Roman" w:eastAsia="SimSun" w:hAnsi="Times New Roman"/>
          <w:i/>
          <w:iCs/>
        </w:rPr>
        <w:t xml:space="preserve">Physical Review Research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2</w:t>
      </w:r>
      <w:r>
        <w:rPr>
          <w:rFonts w:ascii="Times New Roman" w:cs="Times New Roman" w:eastAsia="SimSun" w:hAnsi="Times New Roman"/>
        </w:rPr>
        <w:t xml:space="preserve">, 023032 (2020). doi:10.1103/PhysRevResearch.2.023032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H. Sun, A. Allard, L. Hébert-Dufresne,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127</w:t>
      </w:r>
      <w:r>
        <w:rPr>
          <w:rFonts w:ascii="Times New Roman" w:cs="Times New Roman" w:eastAsia="SimSun" w:hAnsi="Times New Roman"/>
        </w:rPr>
        <w:t xml:space="preserve">, 158301 (2021). doi:10.1103/PhysRevLett.127.158301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J. Watts,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99</w:t>
      </w:r>
      <w:r>
        <w:rPr>
          <w:rFonts w:ascii="Times New Roman" w:cs="Times New Roman" w:eastAsia="SimSun" w:hAnsi="Times New Roman"/>
        </w:rPr>
        <w:t xml:space="preserve">, 5766–5771 (2002). doi:10.1073/pnas.082090499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Centola, M. Macy, </w:t>
      </w:r>
      <w:r>
        <w:rPr>
          <w:rFonts w:ascii="Times New Roman" w:cs="Times New Roman" w:eastAsia="SimSun" w:hAnsi="Times New Roman"/>
          <w:i/>
          <w:iCs/>
        </w:rPr>
        <w:t xml:space="preserve">American Journal of Sociology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113</w:t>
      </w:r>
      <w:r>
        <w:rPr>
          <w:rFonts w:ascii="Times New Roman" w:cs="Times New Roman" w:eastAsia="SimSun" w:hAnsi="Times New Roman"/>
        </w:rPr>
        <w:t xml:space="preserve">, 702–734 (2007). doi:10.1086/521848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N. W. Landry, J. G. Restrepo, </w:t>
      </w:r>
      <w:r>
        <w:rPr>
          <w:rFonts w:ascii="Times New Roman" w:cs="Times New Roman" w:eastAsia="SimSun" w:hAnsi="Times New Roman"/>
          <w:i/>
          <w:iCs/>
        </w:rPr>
        <w:t xml:space="preserve">Chaos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30</w:t>
      </w:r>
      <w:r>
        <w:rPr>
          <w:rFonts w:ascii="Times New Roman" w:cs="Times New Roman" w:eastAsia="SimSun" w:hAnsi="Times New Roman"/>
        </w:rPr>
        <w:t xml:space="preserve">, 103117 (2020). doi:10.1063/5.0020034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St-Onge, I. Iacopini, V. Latora, A. Barrat, G. Petri, A. Allard, L. Hébert-Dufresne,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25 (2022). doi:10.1038/s42005-021-00788-w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Mancastroppa, I. Iacopini, G. Petri, A. Barrat,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14</w:t>
      </w:r>
      <w:r>
        <w:rPr>
          <w:rFonts w:ascii="Times New Roman" w:cs="Times New Roman" w:eastAsia="SimSun" w:hAnsi="Times New Roman"/>
        </w:rPr>
        <w:t xml:space="preserve">, 6223 (2023). doi:10.1038/s41467-023-41887-2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H. Kim, K. I. Goh,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132</w:t>
      </w:r>
      <w:r>
        <w:rPr>
          <w:rFonts w:ascii="Times New Roman" w:cs="Times New Roman" w:eastAsia="SimSun" w:hAnsi="Times New Roman"/>
        </w:rPr>
        <w:t xml:space="preserve">, 087401 (2024). doi:10.1103/PhysRevLett.132.087401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S. Lamata-Otín, M. Frasca, V. Latora, J. Gómez-Gardeñes, </w:t>
      </w:r>
      <w:r>
        <w:rPr>
          <w:rFonts w:ascii="Times New Roman" w:cs="Times New Roman" w:eastAsia="SimSun" w:hAnsi="Times New Roman"/>
          <w:i/>
          <w:iCs/>
        </w:rPr>
        <w:t xml:space="preserve">Nature Communications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16</w:t>
      </w:r>
      <w:r>
        <w:rPr>
          <w:rFonts w:ascii="Times New Roman" w:cs="Times New Roman" w:eastAsia="SimSun" w:hAnsi="Times New Roman"/>
        </w:rPr>
        <w:t xml:space="preserve"> (2025). doi:10.1038/s41467-024-55506-1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Lamata-Otín, F. Malizia, V. Latora, M. Frasca, J. Gómez-Gardeñes,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111</w:t>
      </w:r>
      <w:r>
        <w:rPr>
          <w:rFonts w:ascii="Times New Roman" w:cs="Times New Roman" w:eastAsia="SimSun" w:hAnsi="Times New Roman"/>
        </w:rPr>
        <w:t xml:space="preserve">, 034302 (2025). doi:10.1103/PhysRevE.111.034302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F. Malizia, A. Guzmán, I. Iacopini, I. Z. Kiss,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 (2025). doi:10.1103/z3d5-94zb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Bianconi, S. N. Dorogovtsev,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109</w:t>
      </w:r>
      <w:r>
        <w:rPr>
          <w:rFonts w:ascii="Times New Roman" w:cs="Times New Roman" w:eastAsia="SimSun" w:hAnsi="Times New Roman"/>
        </w:rPr>
        <w:t xml:space="preserve">, 014306 (2024). doi:10.1103/PhysRevE.109.014306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H. Sun, G. Bianconi,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104</w:t>
      </w:r>
      <w:r>
        <w:rPr>
          <w:rFonts w:ascii="Times New Roman" w:cs="Times New Roman" w:eastAsia="SimSun" w:hAnsi="Times New Roman"/>
        </w:rPr>
        <w:t xml:space="preserve">, 034306 (2021). doi:10.1103/PhysRevE.104.034306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Ferraz de Arruda, A. Aleta, Y. Moreno, </w:t>
      </w:r>
      <w:r>
        <w:rPr>
          <w:rFonts w:ascii="Times New Roman" w:cs="Times New Roman" w:eastAsia="SimSun" w:hAnsi="Times New Roman"/>
          <w:i/>
          <w:iCs/>
        </w:rPr>
        <w:t xml:space="preserve">Nature Reviews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6</w:t>
      </w:r>
      <w:r>
        <w:rPr>
          <w:rFonts w:ascii="Times New Roman" w:cs="Times New Roman" w:eastAsia="SimSun" w:hAnsi="Times New Roman"/>
        </w:rPr>
        <w:t xml:space="preserve">, 468–482 (2024). doi:10.1038/s42254-024-00733-0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Klamt, U. U. Haus, F. Theis, </w:t>
      </w:r>
      <w:r>
        <w:rPr>
          <w:rFonts w:ascii="Times New Roman" w:cs="Times New Roman" w:eastAsia="SimSun" w:hAnsi="Times New Roman"/>
          <w:i/>
          <w:iCs/>
        </w:rPr>
        <w:t xml:space="preserve">PLoS Computational Biology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5</w:t>
      </w:r>
      <w:r>
        <w:rPr>
          <w:rFonts w:ascii="Times New Roman" w:cs="Times New Roman" w:eastAsia="SimSun" w:hAnsi="Times New Roman"/>
        </w:rPr>
        <w:t xml:space="preserve">, e1000385 (2009). doi:10.1371/journal.pcbi.1000385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A. R. Benson, R. Abebe, M. T. Schaub, A. Jadbabaie, J. Kleinberg, </w:t>
      </w:r>
      <w:r>
        <w:rPr>
          <w:rFonts w:ascii="Times New Roman" w:cs="Times New Roman" w:eastAsia="SimSun" w:hAnsi="Times New Roman"/>
          <w:i/>
          <w:iCs/>
        </w:rPr>
        <w:t xml:space="preserve">Proceedings of the National Academy of Sciences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115</w:t>
      </w:r>
      <w:r>
        <w:rPr>
          <w:rFonts w:ascii="Times New Roman" w:cs="Times New Roman" w:eastAsia="SimSun" w:hAnsi="Times New Roman"/>
        </w:rPr>
        <w:t xml:space="preserve">, E11221–E11230 (2018). doi:10.1073/pnas.1800683115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Gallo, G. Longo, S. Pallottino, S. Nguyen, </w:t>
      </w:r>
      <w:r>
        <w:rPr>
          <w:rFonts w:ascii="Times New Roman" w:cs="Times New Roman" w:eastAsia="SimSun" w:hAnsi="Times New Roman"/>
          <w:i/>
          <w:iCs/>
        </w:rPr>
        <w:t xml:space="preserve">Discrete Applied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42</w:t>
      </w:r>
      <w:r>
        <w:rPr>
          <w:rFonts w:ascii="Times New Roman" w:cs="Times New Roman" w:eastAsia="SimSun" w:hAnsi="Times New Roman"/>
        </w:rPr>
        <w:t xml:space="preserve">, 177–201 (1993). doi:10.1016/0166-218X(93)90045-P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Q. F. Lotito, A. Vendramini, A. Montresor, F. Battiston,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 (2026). doi:10.1038/s42005-025-02472-9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Kim, M. Choe, J. Yoo, K. Shin,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 (2023). doi:10.1007/s10618-023-00955-3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Lee, M. Choe, K. Shin, </w:t>
      </w:r>
      <w:r>
        <w:rPr>
          <w:rFonts w:ascii="Times New Roman" w:cs="Times New Roman" w:eastAsia="SimSun" w:hAnsi="Times New Roman"/>
          <w:i/>
          <w:iCs/>
        </w:rPr>
        <w:t xml:space="preserve">Proceedings of the Web Conference 2021</w:t>
      </w:r>
      <w:r>
        <w:rPr>
          <w:rFonts w:ascii="Times New Roman" w:cs="Times New Roman" w:eastAsia="SimSun" w:hAnsi="Times New Roman"/>
        </w:rPr>
        <w:t xml:space="preserve"> (2021). doi:10.1145/3442381.3450010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P. S. Chodrow, </w:t>
      </w:r>
      <w:r>
        <w:rPr>
          <w:rFonts w:ascii="Times New Roman" w:cs="Times New Roman" w:eastAsia="SimSun" w:hAnsi="Times New Roman"/>
          <w:i/>
          <w:iCs/>
        </w:rPr>
        <w:t xml:space="preserve">Journal of Complex Networks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</w:t>
      </w:r>
      <w:r>
        <w:rPr>
          <w:rFonts w:ascii="Times New Roman" w:cs="Times New Roman" w:eastAsia="SimSun" w:hAnsi="Times New Roman"/>
        </w:rPr>
        <w:t xml:space="preserve">, cnaa018 (2020). doi:10.1093/comnet/cnaa018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K. Nakajima, K. Shudo, N. Masuda, </w:t>
      </w:r>
      <w:r>
        <w:rPr>
          <w:rFonts w:ascii="Times New Roman" w:cs="Times New Roman" w:eastAsia="SimSun" w:hAnsi="Times New Roman"/>
          <w:i/>
          <w:iCs/>
        </w:rPr>
        <w:t xml:space="preserve">IEEE Transactions on Network Science and Engineering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</w:t>
      </w:r>
      <w:r>
        <w:rPr>
          <w:rFonts w:ascii="Times New Roman" w:cs="Times New Roman" w:eastAsia="SimSun" w:hAnsi="Times New Roman"/>
        </w:rPr>
        <w:t xml:space="preserve">, 1139–1153 (2022). doi:10.1109/TNSE.2021.3133380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Y. J. Kraakman, C. Stegehuis, </w:t>
      </w:r>
      <w:r>
        <w:rPr>
          <w:rFonts w:ascii="Times New Roman" w:cs="Times New Roman" w:eastAsia="SimSun" w:hAnsi="Times New Roman"/>
          <w:i/>
          <w:iCs/>
        </w:rPr>
        <w:t xml:space="preserve">Discrete Mathematics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349</w:t>
      </w:r>
      <w:r>
        <w:rPr>
          <w:rFonts w:ascii="Times New Roman" w:cs="Times New Roman" w:eastAsia="SimSun" w:hAnsi="Times New Roman"/>
        </w:rPr>
        <w:t xml:space="preserve">, 114961 (2026). doi:10.1016/j.disc.2025.114961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M. Abuissa, M. Riondato, E. Upfal, </w:t>
      </w:r>
      <w:r>
        <w:rPr>
          <w:rFonts w:ascii="Times New Roman" w:cs="Times New Roman" w:eastAsia="SimSun" w:hAnsi="Times New Roman"/>
          <w:i/>
          <w:iCs/>
        </w:rPr>
        <w:t xml:space="preserve">Data Mining and Knowledge Discovery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40</w:t>
      </w:r>
      <w:r>
        <w:rPr>
          <w:rFonts w:ascii="Times New Roman" w:cs="Times New Roman" w:eastAsia="SimSun" w:hAnsi="Times New Roman"/>
        </w:rPr>
        <w:t xml:space="preserve"> (2026). doi:10.1007/s10618-026-01209-8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J. Li, X. Wu, J. Lü, L. Lei, </w:t>
      </w:r>
      <w:r>
        <w:rPr>
          <w:rFonts w:ascii="Times New Roman" w:cs="Times New Roman" w:eastAsia="SimSun" w:hAnsi="Times New Roman"/>
          <w:i/>
          <w:iCs/>
        </w:rPr>
        <w:t xml:space="preserve">Communications Physics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7</w:t>
      </w:r>
      <w:r>
        <w:rPr>
          <w:rFonts w:ascii="Times New Roman" w:cs="Times New Roman" w:eastAsia="SimSun" w:hAnsi="Times New Roman"/>
        </w:rPr>
        <w:t xml:space="preserve"> (2024). doi:10.1038/s42005-024-01614-9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D. T. Gillespie, </w:t>
      </w:r>
      <w:r>
        <w:rPr>
          <w:rFonts w:ascii="Times New Roman" w:cs="Times New Roman" w:eastAsia="SimSun" w:hAnsi="Times New Roman"/>
          <w:i/>
          <w:iCs/>
        </w:rPr>
        <w:t xml:space="preserve">The Journal of Physical Chemistry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81</w:t>
      </w:r>
      <w:r>
        <w:rPr>
          <w:rFonts w:ascii="Times New Roman" w:cs="Times New Roman" w:eastAsia="SimSun" w:hAnsi="Times New Roman"/>
        </w:rPr>
        <w:t xml:space="preserve">, 2340–2361 (1977). doi:10.1021/j100540a008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Letters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96</w:t>
      </w:r>
      <w:r>
        <w:rPr>
          <w:rFonts w:ascii="Times New Roman" w:cs="Times New Roman" w:eastAsia="SimSun" w:hAnsi="Times New Roman"/>
        </w:rPr>
        <w:t xml:space="preserve">, 040601 (2006). doi:10.1103/PhysRevLett.96.040601</w:t>
      </w:r>
    </w:p>
    <w:p>
      <w:pPr>
        <w:pStyle w:val="ListParagraph"/>
        <w:numPr>
          <w:ilvl w:val="0"/>
          <w:numId w:val="2"/>
        </w:numPr>
        <w:spacing w:after="100" w:before="100" w:line="310"/>
      </w:pPr>
      <w:r>
        <w:rPr>
          <w:rFonts w:ascii="Times New Roman" w:cs="Times New Roman" w:eastAsia="SimSun" w:hAnsi="Times New Roman"/>
        </w:rPr>
        <w:t xml:space="preserve">G. J. Baxter, S. N. Dorogovtsev, A. V. Goltsev, J. F. F. Mendes, </w:t>
      </w:r>
      <w:r>
        <w:rPr>
          <w:rFonts w:ascii="Times New Roman" w:cs="Times New Roman" w:eastAsia="SimSun" w:hAnsi="Times New Roman"/>
          <w:i/>
          <w:iCs/>
        </w:rPr>
        <w:t xml:space="preserve">Physical Review E</w:t>
      </w:r>
      <w:r>
        <w:rPr>
          <w:rFonts w:ascii="Times New Roman" w:cs="Times New Roman" w:eastAsia="SimSun" w:hAnsi="Times New Roman"/>
        </w:rPr>
        <w:t xml:space="preserve">, </w:t>
      </w:r>
      <w:r>
        <w:rPr>
          <w:rFonts w:ascii="Times New Roman" w:cs="Times New Roman" w:eastAsia="SimSun" w:hAnsi="Times New Roman"/>
          <w:b/>
          <w:bCs/>
        </w:rPr>
        <w:t xml:space="preserve">82</w:t>
      </w:r>
      <w:r>
        <w:rPr>
          <w:rFonts w:ascii="Times New Roman" w:cs="Times New Roman" w:eastAsia="SimSun" w:hAnsi="Times New Roman"/>
        </w:rPr>
        <w:t xml:space="preserve">, 011103 (2010). doi:10.1103/PhysRevE.82.011103</w:t>
      </w:r>
    </w:p>
    <w:sectPr>
      <w:pgSz w:w="11906" w:h="16838" w:orient="portrait"/>
      <w:pgMar w:top="1200" w:right="1100" w:bottom="12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1"/>
        <w:szCs w:val="21"/>
      </w:rPr>
    </w:rPrDefault>
    <w:pPrDefault>
      <w:pPr>
        <w:spacing w:line="32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 I 部分　引言与定位</dc:title>
  <dc:creator>SIR on Directed Hypergraphs</dc:creator>
  <cp:lastModifiedBy>Un-named</cp:lastModifiedBy>
  <cp:revision>1</cp:revision>
  <dcterms:created xsi:type="dcterms:W3CDTF">2026-08-08T12:26:37.989Z</dcterms:created>
  <dcterms:modified xsi:type="dcterms:W3CDTF">2026-08-08T12:26:38.020Z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