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[3]。由握手关系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4, 5]。[4]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，[3]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[3]；(40)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[6]。二者并不冲突——阈值模型按活跃邻居的比例判定激活，高入度抬高激活门槛；SIR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）。更强地说，(24) 与 (25) 也只读取双度序列，故</w:t>
      </w:r>
      <w:r>
        <w:rPr>
          <w:rFonts w:ascii="Times New Roman" w:cs="Times New Roman" w:eastAsia="SimSun" w:hAnsi="Times New Roman"/>
          <w:b/>
          <w:bCs/>
        </w:rPr>
        <w:t xml:space="preserve">整个闭合而不止阈值都看不见重叠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II.C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挪动约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两处测量一致），在如此窄的区间上仿真的变化不可分辨，因而检验这一预言必须先有第 V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VI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[7]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[8]，取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2026-08-09T16:33:29.719Z</dcterms:created>
  <dcterms:modified xsi:type="dcterms:W3CDTF">2026-08-09T16:33:29.719Z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