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第 I 部分　引言与定位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有向超图上的 SIR 传播：方程法与渗流法的统一分析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草稿版本 v2 · 对应大纲 I.1 / I.2 · 全部文献已过 cite-verify 核验（59/59 命中，0 未找到）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v2 改动：定位由"填补空白"改为"改进与方法创新"；按第二轮全库检索重写与 [li2024directed] 的关系；α 定义见 </w:t>
      </w:r>
      <w:r>
        <w:rPr>
          <w:rFonts w:ascii="Consolas" w:eastAsia="SimSun" w:hAnsi="Consolas"/>
          <w:color w:val="3A4A5A"/>
        </w:rPr>
        <w:t xml:space="preserve">alpha-definition.md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I.1 研究背景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起点：成对网络上的 SIR 已经有两条成熟路径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在成对接触网络上，SIR 传播的理论框架已相当完备，而且是</w:t>
      </w:r>
      <w:r>
        <w:rPr>
          <w:rFonts w:ascii="Times New Roman" w:cs="Times New Roman" w:eastAsia="SimSun" w:hAnsi="Times New Roman"/>
          <w:b/>
          <w:bCs/>
        </w:rPr>
        <w:t xml:space="preserve">双轨</w:t>
      </w:r>
      <w:r>
        <w:rPr>
          <w:rFonts w:ascii="Times New Roman" w:cs="Times New Roman" w:eastAsia="SimSun" w:hAnsi="Times New Roman"/>
        </w:rPr>
        <w:t xml:space="preserve">的。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终态一侧由渗流承担。度分布的异质性把爆发阈值压向零 [pastorsatorras2001]；随机图上的连通结构可由生成函数（PGF）一次解出 [newman2001random]；Newman 的键渗流映射进一步把"最终有多少人被感染"化归为"占据概率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Times New Roman" w:cs="Times New Roman" w:eastAsia="SimSun" w:hAnsi="Times New Roman"/>
        </w:rPr>
        <w:t xml:space="preserve"> 下的巨簇有多大" [newman2002spread]。这一映射的适用边界——传染期分布异质时逐边占据不再独立——随后由 Kenah 与 Robins 厘清 [kenah2007]，其物理根源可上溯到一般流行过程与动力学渗流的等价性 [grassberger1983]。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含时一侧由方程法承担。Volz 用成对近似写出随机网络上 SIR 的低维闭合 [volz2008]，Miller 等将其整理为边基房室模型（EBCM）：以"沿一条边尚未传来感染"的概率作为唯一闭合变量，用少数几个常微分方程复现整条流行曲线，并可容纳非指数康复 [miller2012ebcm]；后者的重要性在于，非马尔可夫的传染/康复期会显著移动阈值 [vanmieghem2013]。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两条路径分工明确、结论互洽：渗流给阈值与终态，方程给峰值与时间演化，二者在成对网络上已被反复交叉验证 [pastorsatorras2015]。</w:t>
      </w:r>
      <w:r>
        <w:rPr>
          <w:rFonts w:ascii="Times New Roman" w:cs="Times New Roman" w:eastAsia="SimSun" w:hAnsi="Times New Roman"/>
          <w:b/>
          <w:bCs/>
        </w:rPr>
        <w:t xml:space="preserve">本文要做的，正是把这套双轨结构搬到有向超图上。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方向性在成对网络上已经是一个动力学旋钮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方向性早已进入上述框架。有向随机图的巨强连通分支由入/出度联合 PGF 决定 [dorogovtsev2001giant]；广义有向渗流给出了 in-component 与 out-component 的完整刻画 [boguna2005directed]；Meyers 等把它直接用于有向接触网络上的流行预测 [meyers2006directed]。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更关键的是</w:t>
      </w:r>
      <w:r>
        <w:rPr>
          <w:rFonts w:ascii="Times New Roman" w:cs="Times New Roman" w:eastAsia="SimSun" w:hAnsi="Times New Roman"/>
          <w:b/>
          <w:bCs/>
        </w:rPr>
        <w:t xml:space="preserve">入出度相关性本身会移动阈值</w:t>
      </w:r>
      <w:r>
        <w:rPr>
          <w:rFonts w:ascii="Times New Roman" w:cs="Times New Roman" w:eastAsia="SimSun" w:hAnsi="Times New Roman"/>
        </w:rPr>
        <w:t xml:space="preserve">：Xu 等在有向成对网络上发现，正的入出度相关使系统对传染更稳健，负相关则使其更脆弱 [xu2018directionality]。这一效应与无向网络中度—度同配性的作用 [newman2002assortative] 机制不同，不能互相替代。也就是说，在成对世界里，"方向"与"入出度相关"都不是记号上的装饰，而是能定量移动爆发阈值的结构自由度。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高阶传播进展迅速，但几乎全是无向的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过去数年，传播研究的重心转向高阶交互：许多传染并非沿一条条边逐个发生，而是在一个群体内一次性发生 [battiston2020, battiston2021]。这条线上的结论已经相当丰富：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单纯复形上的社会传播中，群体强化可把连续相变变为不连续相变并带来滞后 [iacopini2019]；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超图上的传播模型把群体规模、群体阈值与非线性感染核纳入统一框架 [dearruda2020, stonge2021prl]，并与经典的阈值型复杂传播 [watts2002, centola2007] 接轨；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度与超边基数的异质性可以定性改变相变类型 [landry2020]，并决定哪些群体最适合作为种子 [stonge2022]；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超核（hyper-core）与高阶连通分支被识别为决定局域化与传播命运的结构量 [mancastroppa2023, kim2024components]；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超边之间的</w:t>
      </w:r>
      <w:r>
        <w:rPr>
          <w:rFonts w:ascii="Times New Roman" w:cs="Times New Roman" w:eastAsia="SimSun" w:hAnsi="Times New Roman"/>
          <w:b/>
          <w:bCs/>
        </w:rPr>
        <w:t xml:space="preserve">重叠</w:t>
      </w:r>
      <w:r>
        <w:rPr>
          <w:rFonts w:ascii="Times New Roman" w:cs="Times New Roman" w:eastAsia="SimSun" w:hAnsi="Times New Roman"/>
        </w:rPr>
        <w:t xml:space="preserve">被证明是决定转变是否爆炸式的关键结构量——且方向与直觉相反：</w:t>
      </w:r>
      <w:r>
        <w:rPr>
          <w:rFonts w:ascii="Times New Roman" w:cs="Times New Roman" w:eastAsia="SimSun" w:hAnsi="Times New Roman"/>
          <w:b/>
          <w:bCs/>
        </w:rPr>
        <w:t xml:space="preserve">低</w:t>
      </w:r>
      <w:r>
        <w:rPr>
          <w:rFonts w:ascii="Times New Roman" w:cs="Times New Roman" w:eastAsia="SimSun" w:hAnsi="Times New Roman"/>
        </w:rPr>
        <w:t xml:space="preserve">阶内重叠才导致爆炸性与双稳 [malizia2025overlap]；其组织被整理为一个超边重叠矩阵，对角元为阶内重叠、非对角元为阶间重叠 [lamataotin2025matrix]；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群体级房室框架（GBCM）进一步把</w:t>
      </w:r>
      <w:r>
        <w:rPr>
          <w:rFonts w:ascii="Times New Roman" w:cs="Times New Roman" w:eastAsia="SimSun" w:hAnsi="Times New Roman"/>
          <w:b/>
          <w:bCs/>
        </w:rPr>
        <w:t xml:space="preserve">跨阶相关</w:t>
      </w:r>
      <w:r>
        <w:rPr>
          <w:rFonts w:ascii="Times New Roman" w:cs="Times New Roman" w:eastAsia="SimSun" w:hAnsi="Times New Roman"/>
        </w:rPr>
        <w:t xml:space="preserve">解析地纳入不可逆传播，并指出阶间相关驱动系统沿不同路径走向爆炸式传播 [malizia2025gbcm]；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渗流一侧亦已建立：超图渗流的一般理论 [bianconi2024percolation]、多重超图上的高阶渗流 [sun2021multiplex]、以及三元相互作用下的动态渗流 [sun2023triadic]。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该领域已有系统综述 [dearruda2024review]。但这些工作</w:t>
      </w:r>
      <w:r>
        <w:rPr>
          <w:rFonts w:ascii="Times New Roman" w:cs="Times New Roman" w:eastAsia="SimSun" w:hAnsi="Times New Roman"/>
          <w:b/>
          <w:bCs/>
        </w:rPr>
        <w:t xml:space="preserve">几乎无一例外地共享同一前提：超边是无向的</w:t>
      </w:r>
      <w:r>
        <w:rPr>
          <w:rFonts w:ascii="Times New Roman" w:cs="Times New Roman" w:eastAsia="SimSun" w:hAnsi="Times New Roman"/>
        </w:rPr>
        <w:t xml:space="preserve">——一条超边内的所有节点对称地相互施加影响。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定位：有向超图上的传播已经起步，本文做的是方法学推进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现实中的高阶交互往往是不对称的。代谢与化学反应网络天然由底物集指向产物集 [klamt2009]；引用与合作数据中，"一组作者引用一组文献"同样是尾→头的 [benson2018]；有向超图作为数据结构在运筹与算法领域已有三十余年历史 [gallo1993]。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真正的转折发生在最近两年——</w:t>
      </w:r>
      <w:r>
        <w:rPr>
          <w:rFonts w:ascii="Times New Roman" w:cs="Times New Roman" w:eastAsia="SimSun" w:hAnsi="Times New Roman"/>
          <w:b/>
          <w:bCs/>
        </w:rPr>
        <w:t xml:space="preserve">有向超图的结构侧正在被迅速补齐</w:t>
      </w:r>
      <w:r>
        <w:rPr>
          <w:rFonts w:ascii="Times New Roman" w:cs="Times New Roman" w:eastAsia="SimSun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真实有向超图的微观组织（超边指纹、高阶互惠性、有向 motif）已在比特币交易、代谢网络与引用数据上被系统刻画 [lotito2026directed]；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谱中心性的有向/异质推广已经展开 [contrerasaso2024beyond]；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保持入/出度序列的有向超图均匀采样 [kraakman2026sampling] 与非退化零模型 [abuissa2026dinghy] 已经可用；无向侧的位形模型 [chodrow2020] 与保度保相关随机化 [nakajima2022randomizing] 更早就有；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高阶相关性（含时序记忆）的测量工具也已成型 [gallo2024memory]。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动力学一侧同样已经起步。Li 等在有向超图上建立了</w:t>
      </w:r>
      <w:r>
        <w:rPr>
          <w:rFonts w:ascii="Times New Roman" w:cs="Times New Roman" w:eastAsia="SimSun" w:hAnsi="Times New Roman"/>
          <w:b/>
          <w:bCs/>
        </w:rPr>
        <w:t xml:space="preserve">社会传播</w:t>
      </w:r>
      <w:r>
        <w:rPr>
          <w:rFonts w:ascii="Times New Roman" w:cs="Times New Roman" w:eastAsia="SimSun" w:hAnsi="Times New Roman"/>
        </w:rPr>
        <w:t xml:space="preserve">模型，纳入个体与环境的强化异质性，并发现不连续相变的双稳区间随"有向强度"减弱而收缩 [li2024directed]。这项工作确立了一个重要事实：</w:t>
      </w:r>
      <w:r>
        <w:rPr>
          <w:rFonts w:ascii="Times New Roman" w:cs="Times New Roman" w:eastAsia="SimSun" w:hAnsi="Times New Roman"/>
          <w:b/>
          <w:bCs/>
        </w:rPr>
        <w:t xml:space="preserve">方向性确实改变高阶传播的相变结构</w:t>
      </w:r>
      <w:r>
        <w:rPr>
          <w:rFonts w:ascii="Times New Roman" w:cs="Times New Roman" w:eastAsia="SimSun" w:hAnsi="Times New Roman"/>
        </w:rPr>
        <w:t xml:space="preserve">。本文把它作为出发点，而不是绕开它。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本文不主张开辟一个新问题，而是在这条已经打开的路上做四项方法学推进</w:t>
      </w:r>
      <w:r>
        <w:rPr>
          <w:rFonts w:ascii="Times New Roman" w:cs="Times New Roman" w:eastAsia="SimSun" w:hAnsi="Times New Roman"/>
        </w:rPr>
        <w:t xml:space="preserve">——每一项都对应一个已有做法，而不是一片空地：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均场 → 边基。</w:t>
      </w:r>
      <w:r>
        <w:rPr>
          <w:rFonts w:ascii="Times New Roman" w:cs="Times New Roman" w:eastAsia="SimSun" w:hAnsi="Times New Roman"/>
        </w:rPr>
        <w:t xml:space="preserve"> Li 等按超度分类写房室方程 [li2024directed]。均场忽略邻域相关，误差在阈值邻域最大；成对网络上正是 EBCM 把这一层补上的 [volz2008, miller2012ebcm]。本文把同一次升级搬到有向超图上，并量化它在阈值邻域相对均场的增益。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单一路径 → 双路径互验。</w:t>
      </w:r>
      <w:r>
        <w:rPr>
          <w:rFonts w:ascii="Times New Roman" w:cs="Times New Roman" w:eastAsia="SimSun" w:hAnsi="Times New Roman"/>
        </w:rPr>
        <w:t xml:space="preserve"> 成对网络的经验是，含时方程与渗流两条独立路径互为验证才让结论可信 [pastorsatorras2015]。有向超图目前只有方程一侧；本文补上渗流/PGF 一侧，从而获得解析阈值与可扫描的结构依赖，并用它交叉验证方程解。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标量旋钮 → 结构相关量。</w:t>
      </w:r>
      <w:r>
        <w:rPr>
          <w:rFonts w:ascii="Times New Roman" w:cs="Times New Roman" w:eastAsia="SimSun" w:hAnsi="Times New Roman"/>
        </w:rPr>
        <w:t xml:space="preserve"> [li2024directed] 用一个标量"有向强度"调节方向性。但</w:t>
      </w:r>
      <w:r>
        <w:rPr>
          <w:rFonts w:ascii="Times New Roman" w:cs="Times New Roman" w:eastAsia="SimSun" w:hAnsi="Times New Roman"/>
          <w:b/>
          <w:bCs/>
        </w:rPr>
        <w:t xml:space="preserve">无向</w:t>
      </w:r>
      <w:r>
        <w:rPr>
          <w:rFonts w:ascii="Times New Roman" w:cs="Times New Roman" w:eastAsia="SimSun" w:hAnsi="Times New Roman"/>
        </w:rPr>
        <w:t xml:space="preserve">一侧已经证明重叠与阶间相关能决定相变类型 [malizia2025overlap, malizia2025gbcm]，</w:t>
      </w:r>
      <w:r>
        <w:rPr>
          <w:rFonts w:ascii="Times New Roman" w:cs="Times New Roman" w:eastAsia="SimSun" w:hAnsi="Times New Roman"/>
          <w:b/>
          <w:bCs/>
        </w:rPr>
        <w:t xml:space="preserve">成对有向</w:t>
      </w:r>
      <w:r>
        <w:rPr>
          <w:rFonts w:ascii="Times New Roman" w:cs="Times New Roman" w:eastAsia="SimSun" w:hAnsi="Times New Roman"/>
        </w:rPr>
        <w:t xml:space="preserve">一侧已经证明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能移动阈值 [xu2018directionality]。把这两个已被各自证明有效的旋钮同时装到有向高阶结构上，是这两条线索合流后的自然下一步。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社会采纳 → SIR。</w:t>
      </w:r>
      <w:r>
        <w:rPr>
          <w:rFonts w:ascii="Times New Roman" w:cs="Times New Roman" w:eastAsia="SimSun" w:hAnsi="Times New Roman"/>
        </w:rPr>
        <w:t xml:space="preserve"> 本文纳入康复支，因而落在与渗流映射相容的不可逆传播类内 [grassberger1983, kenah2007]——这是第 2 项能成立的前提。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在这四项推进下，下面两个问题才第一次可以被定量地问出来：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(Q1)</w:t>
      </w:r>
      <w:r>
        <w:rPr>
          <w:rFonts w:ascii="Times New Roman" w:cs="Times New Roman" w:eastAsia="SimSun" w:hAnsi="Times New Roman"/>
          <w:color w:val="3A4A5A"/>
        </w:rPr>
        <w:t xml:space="preserve"> 尾集 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→ 头集 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的方向性如何进入高阶传播的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解析</w:t>
      </w:r>
      <w:r>
        <w:rPr>
          <w:rFonts w:ascii="Times New Roman" w:cs="Times New Roman" w:eastAsia="SimSun" w:hAnsi="Times New Roman"/>
          <w:color w:val="3A4A5A"/>
        </w:rPr>
        <w:t xml:space="preserve">爆发阈值？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(Q2)</w:t>
      </w:r>
      <w:r>
        <w:rPr>
          <w:rFonts w:ascii="Times New Roman" w:cs="Times New Roman" w:eastAsia="SimSun" w:hAnsi="Times New Roman"/>
          <w:color w:val="3A4A5A"/>
        </w:rPr>
        <w:t xml:space="preserve"> 当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io</w:t>
      </w:r>
      <w:r>
        <w:rPr>
          <w:rFonts w:ascii="Times New Roman" w:cs="Times New Roman" w:eastAsia="SimSun" w:hAnsi="Times New Roman"/>
          <w:color w:val="3A4A5A"/>
        </w:rPr>
        <w:t xml:space="preserve"> 与有向超边重叠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α</w:t>
      </w:r>
      <w:r>
        <w:rPr>
          <w:rFonts w:ascii="Times New Roman" w:cs="Times New Roman" w:eastAsia="SimSun" w:hAnsi="Times New Roman"/>
          <w:color w:val="3A4A5A"/>
        </w:rPr>
        <w:t xml:space="preserve">——这两个只有在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有向高阶</w:t>
      </w:r>
      <w:r>
        <w:rPr>
          <w:rFonts w:ascii="Times New Roman" w:cs="Times New Roman" w:eastAsia="SimSun" w:hAnsi="Times New Roman"/>
          <w:color w:val="3A4A5A"/>
        </w:rPr>
        <w:t xml:space="preserve">结构中才能同时存在的自由度——在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严格保度</w:t>
      </w:r>
      <w:r>
        <w:rPr>
          <w:rFonts w:ascii="Times New Roman" w:cs="Times New Roman" w:eastAsia="SimSun" w:hAnsi="Times New Roman"/>
          <w:color w:val="3A4A5A"/>
        </w:rPr>
        <w:t xml:space="preserve">约束下被独立调节时，阈值与终态规模如何响应？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这两个问题不是把已有结果加一个箭头就能回答的。方向性一旦进入，"一条超边内部对称"这一前提失效：尾集的感染状态与头集的易感状态在演化中扮演不同角色，逐边占据概率不再对称，因而成对有向渗流的 in/out-component 分解 [boguna2005directed] 与无向超图渗流的自洽方程 [bianconi2024percolation] 都不能直接搬用。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本文的做法与贡献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我们在有向超图上沿两条</w:t>
      </w:r>
      <w:r>
        <w:rPr>
          <w:rFonts w:ascii="Times New Roman" w:cs="Times New Roman" w:eastAsia="SimSun" w:hAnsi="Times New Roman"/>
          <w:b/>
          <w:bCs/>
        </w:rPr>
        <w:t xml:space="preserve">互相独立</w:t>
      </w:r>
      <w:r>
        <w:rPr>
          <w:rFonts w:ascii="Times New Roman" w:cs="Times New Roman" w:eastAsia="SimSun" w:hAnsi="Times New Roman"/>
        </w:rPr>
        <w:t xml:space="preserve">的路径建立 SIR 理论，并证明二者在同一极限下相合。五项贡献全部是对已有做法的改进或方法学创新，其对照对象已在上文逐条指明：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C1（方程法）</w:t>
      </w:r>
      <w:r>
        <w:rPr>
          <w:rFonts w:ascii="Times New Roman" w:cs="Times New Roman" w:eastAsia="SimSun" w:hAnsi="Times New Roman"/>
        </w:rPr>
        <w:t xml:space="preserve"> 提出有向超图 SIR 的</w:t>
      </w:r>
      <w:r>
        <w:rPr>
          <w:rFonts w:ascii="Times New Roman" w:cs="Times New Roman" w:eastAsia="SimSun" w:hAnsi="Times New Roman"/>
          <w:b/>
          <w:bCs/>
        </w:rPr>
        <w:t xml:space="preserve">并发型 EBCM</w:t>
      </w:r>
      <w:r>
        <w:rPr>
          <w:rFonts w:ascii="Times New Roman" w:cs="Times New Roman" w:eastAsia="SimSun" w:hAnsi="Times New Roman"/>
        </w:rPr>
        <w:t xml:space="preserve"> 方程。这是相对 [li2024directed] 均场处理的实质推进：关键困难在于一个头节点同时承受多条超边、多个尾成员的并发压力，闭合变量不能简单相乘。我们给出闭合方案、在 </w:t>
      </w:r>
      <w:r>
        <w:rPr>
          <w:rFonts w:ascii="Cambria Math" w:eastAsia="SimSun" w:hAnsi="Cambria Math"/>
          <w:i w:val="false"/>
          <w:iCs w:val="false"/>
        </w:rPr>
        <w:t xml:space="preserve">τ=1,2</w:t>
      </w:r>
      <w:r>
        <w:rPr>
          <w:rFonts w:ascii="Times New Roman" w:cs="Times New Roman" w:eastAsia="SimSun" w:hAnsi="Times New Roman"/>
        </w:rPr>
        <w:t xml:space="preserve"> 手推验证，并用精确 Gillespie 仿真 [gillespie1977] 在阈值邻域校验，直接量化边基相对均场的增益。</w:t>
      </w:r>
      <w:r>
        <w:rPr>
          <w:rFonts w:ascii="Times New Roman" w:cs="Times New Roman" w:eastAsia="SimSun" w:hAnsi="Times New Roman"/>
          <w:i/>
          <w:iCs/>
        </w:rPr>
        <w:t xml:space="preserve">（大纲 III.1 的均场方程本身不作为贡献，只作为对照基线。）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C2（渗流法）</w:t>
      </w:r>
      <w:r>
        <w:rPr>
          <w:rFonts w:ascii="Times New Roman" w:cs="Times New Roman" w:eastAsia="SimSun" w:hAnsi="Times New Roman"/>
        </w:rPr>
        <w:t xml:space="preserve"> 把成对网络上成熟的 SIR→渗流映射 [newman2002spread, kenah2007] 与有向渗流的 PGF 机制 [boguna2005directed, dorogovtsev2001giant] 推广到有向超图，给出阈值随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 与群体阈值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的（半）解析依赖。这是本文技术上最独立的一块：它不依赖 C1 的任何近似，因而能充当独立验证。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C3（结构量与受控扫描）</w:t>
      </w:r>
      <w:r>
        <w:rPr>
          <w:rFonts w:ascii="Times New Roman" w:cs="Times New Roman" w:eastAsia="SimSun" w:hAnsi="Times New Roman"/>
        </w:rPr>
        <w:t xml:space="preserve"> 给出有向超边重叠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的可计算定义，并证明它在无向极限下精确退化为现行的超边重叠 [malizia2025overlap, lamataotin2025matrix]；在此基础上给出</w:t>
      </w:r>
      <w:r>
        <w:rPr>
          <w:rFonts w:ascii="Times New Roman" w:cs="Times New Roman" w:eastAsia="SimSun" w:hAnsi="Times New Roman"/>
          <w:b/>
          <w:bCs/>
        </w:rPr>
        <w:t xml:space="preserve">以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(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,α)</w:t>
      </w:r>
      <w:r>
        <w:rPr>
          <w:rFonts w:ascii="Times New Roman" w:cs="Times New Roman" w:eastAsia="SimSun" w:hAnsi="Times New Roman"/>
          <w:b/>
          <w:bCs/>
        </w:rPr>
        <w:t xml:space="preserve"> 为靶的定向重连</w:t>
      </w:r>
      <w:r>
        <w:rPr>
          <w:rFonts w:ascii="Times New Roman" w:cs="Times New Roman" w:eastAsia="SimSun" w:hAnsi="Times New Roman"/>
        </w:rPr>
        <w:t xml:space="preserve">，在逐节点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完全不变的前提下生成结构扫描线。</w:t>
      </w:r>
      <w:r>
        <w:rPr>
          <w:rFonts w:ascii="Times New Roman" w:cs="Times New Roman" w:eastAsia="SimSun" w:hAnsi="Times New Roman"/>
          <w:i/>
          <w:iCs/>
        </w:rPr>
        <w:t xml:space="preserve">保度重连器本身不是贡献</w:t>
      </w:r>
      <w:r>
        <w:rPr>
          <w:rFonts w:ascii="Times New Roman" w:cs="Times New Roman" w:eastAsia="SimSun" w:hAnsi="Times New Roman"/>
        </w:rPr>
        <w:t xml:space="preserve">——固定度的有向超图均匀采样 [kraakman2026sampling] 与零模型 [abuissa2026dinghy] 已经存在，本文的零模型基线即取自它们；贡献在于定向性与随之而来的可识别性论证（见 I.2）。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C4（现象与判据）</w:t>
      </w:r>
      <w:r>
        <w:rPr>
          <w:rFonts w:ascii="Times New Roman" w:cs="Times New Roman" w:eastAsia="SimSun" w:hAnsi="Times New Roman"/>
        </w:rPr>
        <w:t xml:space="preserve"> 刻画</w:t>
      </w:r>
      <w:r>
        <w:rPr>
          <w:rFonts w:ascii="Times New Roman" w:cs="Times New Roman" w:eastAsia="SimSun" w:hAnsi="Times New Roman"/>
          <w:b/>
          <w:bCs/>
        </w:rPr>
        <w:t xml:space="preserve">方向对称性破缺</w:t>
      </w:r>
      <w:r>
        <w:rPr>
          <w:rFonts w:ascii="Times New Roman" w:cs="Times New Roman" w:eastAsia="SimSun" w:hAnsi="Times New Roman"/>
        </w:rPr>
        <w:t xml:space="preserve">，并给出一个可证的</w:t>
      </w:r>
      <w:r>
        <w:rPr>
          <w:rFonts w:ascii="Times New Roman" w:cs="Times New Roman" w:eastAsia="SimSun" w:hAnsi="Times New Roman"/>
          <w:b/>
          <w:bCs/>
        </w:rPr>
        <w:t xml:space="preserve">必要条件</w:t>
      </w:r>
      <w:r>
        <w:rPr>
          <w:rFonts w:ascii="Times New Roman" w:cs="Times New Roman" w:eastAsia="SimSun" w:hAnsi="Times New Roman"/>
        </w:rPr>
        <w:t xml:space="preserve">：全局方向翻转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是结构空间上的对合，若生成系综在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下不变则系综平均爆发规模必然对称；故破缺要求某个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-奇不变量非零。由此得到一个反直觉推论——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下是</w:t>
      </w:r>
      <w:r>
        <w:rPr>
          <w:rFonts w:ascii="Times New Roman" w:cs="Times New Roman" w:eastAsia="SimSun" w:hAnsi="Times New Roman"/>
          <w:b/>
          <w:bCs/>
        </w:rPr>
        <w:t xml:space="preserve">偶</w:t>
      </w:r>
      <w:r>
        <w:rPr>
          <w:rFonts w:ascii="Times New Roman" w:cs="Times New Roman" w:eastAsia="SimSun" w:hAnsi="Times New Roman"/>
        </w:rPr>
        <w:t xml:space="preserve">的，因此</w:t>
      </w:r>
      <w:r>
        <w:rPr>
          <w:rFonts w:ascii="Times New Roman" w:cs="Times New Roman" w:eastAsia="SimSun" w:hAnsi="Times New Roman"/>
          <w:b/>
          <w:bCs/>
        </w:rPr>
        <w:t xml:space="preserve">单独扫描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</w:rPr>
        <w:t xml:space="preserve"> 不可能产生系综层面的破缺</w:t>
      </w:r>
      <w:r>
        <w:rPr>
          <w:rFonts w:ascii="Times New Roman" w:cs="Times New Roman" w:eastAsia="SimSun" w:hAnsi="Times New Roman"/>
        </w:rPr>
        <w:t xml:space="preserve">。破缺的最低阶来源是共发与共收重叠之差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C5（统一）</w:t>
      </w:r>
      <w:r>
        <w:rPr>
          <w:rFonts w:ascii="Times New Roman" w:cs="Times New Roman" w:eastAsia="SimSun" w:hAnsi="Times New Roman"/>
        </w:rPr>
        <w:t xml:space="preserve"> 证明 C1 的自洽方程与 C2 的 PGF 方程在 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 极限下同构，因而给出同一阈值——这是本文把两套方法缝合成一篇论文而非两篇论文的技术支点。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I.2 与已有工作的边界声明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本节的目的只有一个：</w:t>
      </w:r>
      <w:r>
        <w:rPr>
          <w:rFonts w:ascii="Times New Roman" w:cs="Times New Roman" w:eastAsia="SimSun" w:hAnsi="Times New Roman"/>
          <w:b/>
          <w:bCs/>
        </w:rPr>
        <w:t xml:space="preserve">逐条划清增量，防止审稿人把本文读成"某已有结果的有向推广"。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对照对象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已有工作给了什么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本文的增量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有向超图上的传播</w:t>
            </w:r>
            <w:r>
              <w:rPr>
                <w:rFonts w:ascii="Times New Roman" w:cs="Times New Roman" w:eastAsia="SimSun" w:hAnsi="Times New Roman"/>
              </w:rPr>
              <w:t xml:space="preserve">（本文的直接前身）[li2024directed]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有向超图上的社会传播模型；含强化异质性；不连续相变的双稳区间随"有向强度"收缩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方法</w:t>
            </w:r>
            <w:r>
              <w:rPr>
                <w:rFonts w:ascii="Times New Roman" w:cs="Times New Roman" w:eastAsia="SimSun" w:hAnsi="Times New Roman"/>
              </w:rPr>
              <w:t xml:space="preserve">：均场 → 边基（并发型 EBCM），并量化边基在阈值邻域的增益；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范围</w:t>
            </w:r>
            <w:r>
              <w:rPr>
                <w:rFonts w:ascii="Times New Roman" w:cs="Times New Roman" w:eastAsia="SimSun" w:hAnsi="Times New Roman"/>
              </w:rPr>
              <w:t xml:space="preserve">：社会采纳 → SIR（含康复支）；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路径</w:t>
            </w:r>
            <w:r>
              <w:rPr>
                <w:rFonts w:ascii="Times New Roman" w:cs="Times New Roman" w:eastAsia="SimSun" w:hAnsi="Times New Roman"/>
              </w:rPr>
              <w:t xml:space="preserve">：单一方程路径 → 加上独立的渗流/PGF 路径互验；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旋钮</w:t>
            </w:r>
            <w:r>
              <w:rPr>
                <w:rFonts w:ascii="Times New Roman" w:cs="Times New Roman" w:eastAsia="SimSun" w:hAnsi="Times New Roman"/>
              </w:rPr>
              <w:t xml:space="preserve">：标量"有向强度" → 结构相关量 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与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无向高阶 SIR/SIS</w:t>
            </w:r>
            <w:r>
              <w:rPr>
                <w:rFonts w:ascii="Times New Roman" w:cs="Times New Roman" w:eastAsia="SimSun" w:hAnsi="Times New Roman"/>
              </w:rPr>
              <w:t xml:space="preserve"> [iacopini2019, dearruda2020, landry2020, stonge2022, dearruda2024review]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群体阈值、非线性感染核、异质性导致的相变类型改变——全部在"超边内部对称"前提下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引入尾/头分离后，超边内部对称性被打破，产生两个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在无向情形下不存在</w:t>
            </w:r>
            <w:r>
              <w:rPr>
                <w:rFonts w:ascii="Times New Roman" w:cs="Times New Roman" w:eastAsia="SimSun" w:hAnsi="Times New Roman"/>
              </w:rPr>
              <w:t xml:space="preserve">的结构自由度：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与方向化重叠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⇉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/α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有向成对网络传播</w:t>
            </w:r>
            <w:r>
              <w:rPr>
                <w:rFonts w:ascii="Times New Roman" w:cs="Times New Roman" w:eastAsia="SimSun" w:hAnsi="Times New Roman"/>
              </w:rPr>
              <w:t xml:space="preserve"> [meyers2006directed, boguna2005directed, xu2018directionality]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有向渗流的 in/out-component 分解；入出度相关影响阈值（正相关更稳健）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加入高阶机制（群体阈值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θ</w:t>
            </w:r>
            <w:r>
              <w:rPr>
                <w:rFonts w:ascii="Times New Roman" w:cs="Times New Roman" w:eastAsia="SimSun" w:hAnsi="Times New Roman"/>
              </w:rPr>
              <w:t xml:space="preserve"> / 剂量累积）。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的效应在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θ≥2</w:t>
            </w:r>
            <w:r>
              <w:rPr>
                <w:rFonts w:ascii="Times New Roman" w:cs="Times New Roman" w:eastAsia="SimSun" w:hAnsi="Times New Roman"/>
              </w:rPr>
              <w:t xml:space="preserve"> 时不能由成对结果外推，因为一个头节点是否被感染取决于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多个尾成员的联合状态</w:t>
            </w:r>
            <w:r>
              <w:rPr>
                <w:rFonts w:ascii="Times New Roman" w:cs="Times New Roman" w:eastAsia="SimSun" w:hAnsi="Times New Roman"/>
              </w:rPr>
              <w:t xml:space="preserve">，而非单条边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无向超图渗流</w:t>
            </w:r>
            <w:r>
              <w:rPr>
                <w:rFonts w:ascii="Times New Roman" w:cs="Times New Roman" w:eastAsia="SimSun" w:hAnsi="Times New Roman"/>
              </w:rPr>
              <w:t xml:space="preserve"> [bianconi2024percolation, sun2021multiplex, sun2023triadic]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超图渗流的自洽方程与临界性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占据规则变为单向（尾→头），自洽方程从单变量变为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入/出双分支耦合</w:t>
            </w:r>
            <w:r>
              <w:rPr>
                <w:rFonts w:ascii="Times New Roman" w:cs="Times New Roman" w:eastAsia="SimSun" w:hAnsi="Times New Roman"/>
              </w:rPr>
              <w:t xml:space="preserve">；并给出与之配套的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含时</w:t>
            </w:r>
            <w:r>
              <w:rPr>
                <w:rFonts w:ascii="Times New Roman" w:cs="Times New Roman" w:eastAsia="SimSun" w:hAnsi="Times New Roman"/>
              </w:rPr>
              <w:t xml:space="preserve">方程法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超边重叠与阶间相关</w:t>
            </w:r>
            <w:r>
              <w:rPr>
                <w:rFonts w:ascii="Times New Roman" w:cs="Times New Roman" w:eastAsia="SimSun" w:hAnsi="Times New Roman"/>
              </w:rPr>
              <w:t xml:space="preserve"> [malizia2025overlap, lamataotin2025matrix, malizia2025gbcm]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超边重叠矩阵（对角=阶内、非对角=阶间）；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低</w:t>
            </w:r>
            <w:r>
              <w:rPr>
                <w:rFonts w:ascii="Times New Roman" w:cs="Times New Roman" w:eastAsia="SimSun" w:hAnsi="Times New Roman"/>
              </w:rPr>
              <w:t xml:space="preserve">阶内重叠才导致爆炸性与双稳；GBCM 把阶间相关纳入不可逆传播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把重叠矩阵的每个矩阵元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按方向展开为 </w:t>
            </w:r>
            <w:r>
              <w:rPr>
                <w:rFonts w:ascii="Cambria Math" w:eastAsia="SimSun" w:hAnsi="Cambria Math"/>
                <w:b/>
                <w:bCs/>
                <w:i w:val="false"/>
                <w:iCs w:val="false"/>
              </w:rPr>
              <w:t xml:space="preserve">2×2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 通道张量</w:t>
            </w:r>
            <w:r>
              <w:rPr>
                <w:rFonts w:ascii="Times New Roman" w:cs="Times New Roman" w:eastAsia="SimSun" w:hAnsi="Times New Roman"/>
              </w:rPr>
              <w:t xml:space="preserve">（共发/共收/串联正反）。已证退化性质：四通道求和逐超边对地精确回收其无向定义，故本文结论可与之直接对照，而非另起炉灶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超图位形模型 / 零模型 / 采样</w:t>
            </w:r>
            <w:r>
              <w:rPr>
                <w:rFonts w:ascii="Times New Roman" w:cs="Times New Roman" w:eastAsia="SimSun" w:hAnsi="Times New Roman"/>
              </w:rPr>
              <w:t xml:space="preserve"> [chodrow2020, nakajima2022randomizing, kraakman2026sampling, abuissa2026dinghy]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无向超图的位形模型与保相关随机化；有向超图保入/出度序列的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均匀</w:t>
            </w:r>
            <w:r>
              <w:rPr>
                <w:rFonts w:ascii="Times New Roman" w:cs="Times New Roman" w:eastAsia="SimSun" w:hAnsi="Times New Roman"/>
              </w:rPr>
              <w:t xml:space="preserve">采样与非退化零模型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本文的重连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不是</w:t>
            </w:r>
            <w:r>
              <w:rPr>
                <w:rFonts w:ascii="Times New Roman" w:cs="Times New Roman" w:eastAsia="SimSun" w:hAnsi="Times New Roman"/>
              </w:rPr>
              <w:t xml:space="preserve">又一个零模型采样器，也不声称均匀性：它是保度纤维上以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,α)</w:t>
            </w:r>
            <w:r>
              <w:rPr>
                <w:rFonts w:ascii="Times New Roman" w:cs="Times New Roman" w:eastAsia="SimSun" w:hAnsi="Times New Roman"/>
              </w:rPr>
              <w:t xml:space="preserve"> 为靶的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有偏</w:t>
            </w:r>
            <w:r>
              <w:rPr>
                <w:rFonts w:ascii="Times New Roman" w:cs="Times New Roman" w:eastAsia="SimSun" w:hAnsi="Times New Roman"/>
              </w:rPr>
              <w:t xml:space="preserve"> Metropolis 链，因而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不可用于显著性检验</w:t>
            </w:r>
            <w:r>
              <w:rPr>
                <w:rFonts w:ascii="Times New Roman" w:cs="Times New Roman" w:eastAsia="SimSun" w:hAnsi="Times New Roman"/>
              </w:rPr>
              <w:t xml:space="preserve">；所有零模型基线一律取自 [kraakman2026sampling, abuissa2026dinghy]。贡献是受控扫描本身，以及随附的混杂审计（见下）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有向超图结构刻画</w:t>
            </w:r>
            <w:r>
              <w:rPr>
                <w:rFonts w:ascii="Times New Roman" w:cs="Times New Roman" w:eastAsia="SimSun" w:hAnsi="Times New Roman"/>
              </w:rPr>
              <w:t xml:space="preserve"> [lotito2026directed, contrerasaso2024beyond]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真实有向超图的指纹、高阶互惠性、motif、谱中心性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从"结构长什么样"推进到"结构如何决定传播阈值"，并把 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、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这两个可测量量与阈值定量挂钩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互惠性与重叠的测度＋生成器</w:t>
            </w:r>
            <w:r>
              <w:rPr>
                <w:rFonts w:ascii="Times New Roman" w:cs="Times New Roman" w:eastAsia="SimSun" w:hAnsi="Times New Roman"/>
              </w:rPr>
              <w:t xml:space="preserve">（数据挖掘侧）[kim2023reciprocity, lee2021overlap]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有向超图互惠性、超边重叠的系统测度、真实数据规律与配套生成器——均早于物理侧的对应工作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本文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沿用而非重造</w:t>
            </w:r>
            <w:r>
              <w:rPr>
                <w:rFonts w:ascii="Times New Roman" w:cs="Times New Roman" w:eastAsia="SimSun" w:hAnsi="Times New Roman"/>
              </w:rPr>
              <w:t xml:space="preserve">这些测度：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⇄</w:t>
            </w:r>
            <w:r>
              <w:rPr>
                <w:rFonts w:ascii="Times New Roman" w:cs="Times New Roman" w:eastAsia="SimSun" w:hAnsi="Times New Roman"/>
              </w:rPr>
              <w:t xml:space="preserve"> 直接取 [lotito2026directed] 的 strong 互惠档。增量在于把这些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静态描述量接到传播阈值上</w:t>
            </w:r>
            <w:r>
              <w:rPr>
                <w:rFonts w:ascii="Times New Roman" w:cs="Times New Roman" w:eastAsia="SimSun" w:hAnsi="Times New Roman"/>
              </w:rPr>
              <w:t xml:space="preserve">，给出它们的动力学后果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k-core / bootstrap 渗流</w:t>
            </w:r>
            <w:r>
              <w:rPr>
                <w:rFonts w:ascii="Times New Roman" w:cs="Times New Roman" w:eastAsia="SimSun" w:hAnsi="Times New Roman"/>
              </w:rPr>
              <w:t xml:space="preserve"> [dorogovtsev2006kcore, baxter2010bootstrap, kim2024components]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阈值型激活的渗流对应 bootstrap/k-core，相变级数与普通渗流不同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本文明确给出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双声明</w:t>
            </w:r>
            <w:r>
              <w:rPr>
                <w:rFonts w:ascii="Times New Roman" w:cs="Times New Roman" w:eastAsia="SimSun" w:hAnsi="Times New Roman"/>
              </w:rPr>
              <w:t xml:space="preserve">（见 IV.4）：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θ=1</w:t>
            </w:r>
            <w:r>
              <w:rPr>
                <w:rFonts w:ascii="Times New Roman" w:cs="Times New Roman" w:eastAsia="SimSun" w:hAnsi="Times New Roman"/>
              </w:rPr>
              <w:t xml:space="preserve"> 落回普通有向渗流巨簇；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θ≥2</w:t>
            </w:r>
            <w:r>
              <w:rPr>
                <w:rFonts w:ascii="Times New Roman" w:cs="Times New Roman" w:eastAsia="SimSun" w:hAnsi="Times New Roman"/>
              </w:rPr>
              <w:t xml:space="preserve"> 落入 bootstrap/k-core 型，阈值与相变级数不同。二者不可混用</w:t>
            </w:r>
          </w:p>
        </w:tc>
      </w:tr>
    </w:tbl>
    <w:p>
      <w:pPr>
        <w:spacing w:after="160"/>
      </w:pP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关于 C3 的方法学声明（可识别性）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定向重连是一件比零模型采样更容易出错的工具，因此其边界必须在正文中显式声明，而不是留给读者推断：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本链不是均匀采样。</w:t>
      </w:r>
      <w:r>
        <w:rPr>
          <w:rFonts w:ascii="Times New Roman" w:cs="Times New Roman" w:eastAsia="SimSun" w:hAnsi="Times New Roman"/>
        </w:rPr>
        <w:t xml:space="preserve"> 我们在保度纤维上运行以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\</w:t>
      </w:r>
      <w:r>
        <w:rPr>
          <w:rFonts w:ascii="Cambria Math" w:eastAsia="SimSun" w:hAnsi="Cambria Math"/>
          <w:i w:val="false"/>
          <w:iCs w:val="false"/>
        </w:rPr>
        <w:t xml:space="preserve">*)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+λ(α-α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\</w:t>
      </w:r>
      <w:r>
        <w:rPr>
          <w:rFonts w:ascii="Cambria Math" w:eastAsia="SimSun" w:hAnsi="Cambria Math"/>
          <w:i w:val="false"/>
          <w:iCs w:val="false"/>
        </w:rPr>
        <w:t xml:space="preserve">*)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Times New Roman" w:cs="Times New Roman" w:eastAsia="SimSun" w:hAnsi="Times New Roman"/>
        </w:rPr>
        <w:t xml:space="preserve"> 为能量的 Metropolis 双边交换链。提议对称时细致平衡对 </w:t>
      </w:r>
      <w:r>
        <w:rPr>
          <w:rFonts w:ascii="Cambria Math" w:eastAsia="SimSun" w:hAnsi="Cambria Math"/>
          <w:i w:val="false"/>
          <w:iCs w:val="false"/>
        </w:rPr>
        <w:t xml:space="preserve">∝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-β E</w:t>
      </w:r>
      <w:r>
        <w:rPr>
          <w:rFonts w:ascii="Times New Roman" w:cs="Times New Roman" w:eastAsia="SimSun" w:hAnsi="Times New Roman"/>
        </w:rPr>
        <w:t xml:space="preserve"> 成立，故链在</w:t>
      </w:r>
      <w:r>
        <w:rPr>
          <w:rFonts w:ascii="Times New Roman" w:cs="Times New Roman" w:eastAsia="SimSun" w:hAnsi="Times New Roman"/>
          <w:b/>
          <w:bCs/>
        </w:rPr>
        <w:t xml:space="preserve">目标坐标的水平集内</w:t>
      </w:r>
      <w:r>
        <w:rPr>
          <w:rFonts w:ascii="Times New Roman" w:cs="Times New Roman" w:eastAsia="SimSun" w:hAnsi="Times New Roman"/>
        </w:rPr>
        <w:t xml:space="preserve">近似均匀，但在全纤维上</w:t>
      </w:r>
      <w:r>
        <w:rPr>
          <w:rFonts w:ascii="Times New Roman" w:cs="Times New Roman" w:eastAsia="SimSun" w:hAnsi="Times New Roman"/>
          <w:b/>
          <w:bCs/>
        </w:rPr>
        <w:t xml:space="preserve">有偏</w:t>
      </w:r>
      <w:r>
        <w:rPr>
          <w:rFonts w:ascii="Times New Roman" w:cs="Times New Roman" w:eastAsia="SimSun" w:hAnsi="Times New Roman"/>
        </w:rPr>
        <w:t xml:space="preserve">。因此本链的输出</w:t>
      </w:r>
      <w:r>
        <w:rPr>
          <w:rFonts w:ascii="Times New Roman" w:cs="Times New Roman" w:eastAsia="SimSun" w:hAnsi="Times New Roman"/>
          <w:b/>
          <w:bCs/>
        </w:rPr>
        <w:t xml:space="preserve">不构成零假设样本</w:t>
      </w:r>
      <w:r>
        <w:rPr>
          <w:rFonts w:ascii="Times New Roman" w:cs="Times New Roman" w:eastAsia="SimSun" w:hAnsi="Times New Roman"/>
        </w:rPr>
        <w:t xml:space="preserve">，任何"显著高于随机期望"的陈述必须改用 [kraakman2026sampling, abuissa2026dinghy] 的均匀采样器。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重叠总量不可调，可调的是堆积方式。</w:t>
      </w:r>
      <w:r>
        <w:rPr>
          <w:rFonts w:ascii="Times New Roman" w:cs="Times New Roman" w:eastAsia="SimSun" w:hAnsi="Times New Roman"/>
        </w:rPr>
        <w:t xml:space="preserve"> 保度约束下四个通道的重叠</w:t>
      </w:r>
      <w:r>
        <w:rPr>
          <w:rFonts w:ascii="Times New Roman" w:cs="Times New Roman" w:eastAsia="SimSun" w:hAnsi="Times New Roman"/>
          <w:b/>
          <w:bCs/>
        </w:rPr>
        <w:t xml:space="preserve">总量</w:t>
      </w:r>
      <w:r>
        <w:rPr>
          <w:rFonts w:ascii="Times New Roman" w:cs="Times New Roman" w:eastAsia="SimSun" w:hAnsi="Times New Roman"/>
        </w:rPr>
        <w:t xml:space="preserve">由度序列固定（求和规则见 </w:t>
      </w:r>
      <w:r>
        <w:rPr>
          <w:rFonts w:ascii="Consolas" w:eastAsia="SimSun" w:hAnsi="Consolas"/>
        </w:rPr>
        <w:t xml:space="preserve">alpha-definition.md</w:t>
      </w:r>
      <w:r>
        <w:rPr>
          <w:rFonts w:ascii="Times New Roman" w:cs="Times New Roman" w:eastAsia="SimSun" w:hAnsi="Times New Roman"/>
        </w:rPr>
        <w:t xml:space="preserve"> §2 性质 3）。因此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必须定义为</w:t>
      </w:r>
      <w:r>
        <w:rPr>
          <w:rFonts w:ascii="Times New Roman" w:cs="Times New Roman" w:eastAsia="SimSun" w:hAnsi="Times New Roman"/>
          <w:b/>
          <w:bCs/>
        </w:rPr>
        <w:t xml:space="preserve">条件</w:t>
      </w:r>
      <w:r>
        <w:rPr>
          <w:rFonts w:ascii="Times New Roman" w:cs="Times New Roman" w:eastAsia="SimSun" w:hAnsi="Times New Roman"/>
        </w:rPr>
        <w:t xml:space="preserve">平均重叠深度（在确实重叠的超边对上取平均）；无条件均值恒为常数，扫描无从谈起。这条约束此前未被检出，直接决定 V.4 的实现方式。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必须报告混杂审计。</w:t>
      </w:r>
      <w:r>
        <w:rPr>
          <w:rFonts w:ascii="Times New Roman" w:cs="Times New Roman" w:eastAsia="SimSun" w:hAnsi="Times New Roman"/>
        </w:rPr>
        <w:t xml:space="preserve"> 由于纤维未被充分遍历，未被靶向的结构量可能随扫描漂移。正文须附一张审计面板：沿每条扫描线同时报告未靶向的重叠通道、超边级聚类、高阶互惠性 [lotito2026directed] 与连通分支规模，并显示其保持在均匀零模型的涨落带内。任何越界的量都必须与结论一并讨论。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一句话定位：</w:t>
      </w:r>
      <w:r>
        <w:rPr>
          <w:rFonts w:ascii="Times New Roman" w:cs="Times New Roman" w:eastAsia="SimSun" w:hAnsi="Times New Roman"/>
        </w:rPr>
        <w:t xml:space="preserve"> 本文不声称开辟新问题——有向超图上的传播动力学已由 [li2024directed] 开启。本文做的是</w:t>
      </w:r>
      <w:r>
        <w:rPr>
          <w:rFonts w:ascii="Times New Roman" w:cs="Times New Roman" w:eastAsia="SimSun" w:hAnsi="Times New Roman"/>
          <w:b/>
          <w:bCs/>
        </w:rPr>
        <w:t xml:space="preserve">把成对网络上早已成熟的两件事搬到有向超图上并使其相容</w:t>
      </w:r>
      <w:r>
        <w:rPr>
          <w:rFonts w:ascii="Times New Roman" w:cs="Times New Roman" w:eastAsia="SimSun" w:hAnsi="Times New Roman"/>
        </w:rPr>
        <w:t xml:space="preserve">：边基闭合（相对均场的精度升级）与渗流/PGF 阈值理论（相对单一路径的独立验证），并在这一过程中把"重叠"细化为方向分解的可测量量、给出方向对称性破缺的可证必要条件。</w:t>
      </w:r>
      <w:r>
        <w:rPr>
          <w:rFonts w:ascii="Times New Roman" w:cs="Times New Roman" w:eastAsia="SimSun" w:hAnsi="Times New Roman"/>
          <w:b/>
          <w:bCs/>
        </w:rPr>
        <w:t xml:space="preserve">是改进与方法创新，不是填补空白。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三项风险的处置结果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v1 版本列出的三项写作侧风险已全部处理，处置方式与后果记录如下。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1. 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</w:rPr>
        <w:t xml:space="preserve">α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 的定义（大纲风险 2.2）——已定义，见 </w:t>
      </w:r>
      <w:r>
        <w:rPr>
          <w:rFonts w:ascii="Consolas" w:eastAsia="SimSun" w:hAnsi="Consolas"/>
          <w:b/>
          <w:bCs/>
          <w:color w:val="1A1A1A"/>
          <w:sz w:val="23"/>
          <w:szCs w:val="23"/>
        </w:rPr>
        <w:t xml:space="preserve">alpha-definition.md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原描述"尾集内部两两节点间的有向关系与超边整体方向一致的比例"不可用：它刻画的是</w:t>
      </w:r>
      <w:r>
        <w:rPr>
          <w:rFonts w:ascii="Times New Roman" w:cs="Times New Roman" w:eastAsia="SimSun" w:hAnsi="Times New Roman"/>
          <w:b/>
          <w:bCs/>
        </w:rPr>
        <w:t xml:space="preserve">单条超边内部</w:t>
      </w:r>
      <w:r>
        <w:rPr>
          <w:rFonts w:ascii="Times New Roman" w:cs="Times New Roman" w:eastAsia="SimSun" w:hAnsi="Times New Roman"/>
        </w:rPr>
        <w:t xml:space="preserve">的量，而文献中"重叠"一律指</w:t>
      </w:r>
      <w:r>
        <w:rPr>
          <w:rFonts w:ascii="Times New Roman" w:cs="Times New Roman" w:eastAsia="SimSun" w:hAnsi="Times New Roman"/>
          <w:b/>
          <w:bCs/>
        </w:rPr>
        <w:t xml:space="preserve">两条超边之间</w:t>
      </w:r>
      <w:r>
        <w:rPr>
          <w:rFonts w:ascii="Times New Roman" w:cs="Times New Roman" w:eastAsia="SimSun" w:hAnsi="Times New Roman"/>
        </w:rPr>
        <w:t xml:space="preserve">的共享 [malizia2025overlap, lamataotin2025matrix]；它还需要一个模型里并不存在的成对底图，且没有解析入口。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现按顶刊现行用法重新定义：对有序超边对构造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重叠列联矩阵，四个通道分别为共发（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）、共收（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）、串联正向（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）、串联反向（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），并按阶聚合成张量——其阶对角块即 Lamata-Otín 等的阶内重叠、非对角块即阶间重叠 [lamataotin2025matrix]，本文只是在每个矩阵元上再展开方向通道。共发/共收这组词直接取自 Lotito 等有向超图微观组织框架的 co-sending / co-receiving [lotito2026directed]。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该定义带来三项可证性质，其中两项改变了下游计划：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退化</w:t>
      </w:r>
      <w:r>
        <w:rPr>
          <w:rFonts w:ascii="Times New Roman" w:cs="Times New Roman" w:eastAsia="SimSun" w:hAnsi="Times New Roman"/>
        </w:rPr>
        <w:t xml:space="preserve">：四通道求和逐超边对地精确回收无向超边重叠。这是 I.2 中"refinement 而非另起炉灶"的全部依据。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宇称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-奇不变量清单给出方向对称性破缺的必要条件，并推出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</w:rPr>
        <w:t xml:space="preserve"> 是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Times New Roman" w:cs="Times New Roman" w:eastAsia="SimSun" w:hAnsi="Times New Roman"/>
          <w:b/>
          <w:bCs/>
        </w:rPr>
        <w:t xml:space="preserve">-偶的</w:t>
      </w:r>
      <w:r>
        <w:rPr>
          <w:rFonts w:ascii="Times New Roman" w:cs="Times New Roman" w:eastAsia="SimSun" w:hAnsi="Times New Roman"/>
        </w:rPr>
        <w:t xml:space="preserve">——单独扫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不可能产生系综层面的破缺。</w:t>
      </w:r>
      <w:r>
        <w:rPr>
          <w:rFonts w:ascii="Times New Roman" w:cs="Times New Roman" w:eastAsia="SimSun" w:hAnsi="Times New Roman"/>
          <w:b/>
          <w:bCs/>
        </w:rPr>
        <w:t xml:space="preserve">这直接改写大纲 V.5 的实验设计</w:t>
      </w:r>
      <w:r>
        <w:rPr>
          <w:rFonts w:ascii="Times New Roman" w:cs="Times New Roman" w:eastAsia="SimSun" w:hAnsi="Times New Roman"/>
        </w:rPr>
        <w:t xml:space="preserve">：破缺实验须固定 </w:t>
      </w:r>
      <w:r>
        <w:rPr>
          <w:rFonts w:ascii="Cambria Math" w:eastAsia="SimSun" w:hAnsi="Cambria Math"/>
          <w:i w:val="false"/>
          <w:iCs w:val="false"/>
        </w:rPr>
        <w:t xml:space="preserve">τ=η</w:t>
      </w:r>
      <w:r>
        <w:rPr>
          <w:rFonts w:ascii="Times New Roman" w:cs="Times New Roman" w:eastAsia="SimSun" w:hAnsi="Times New Roman"/>
        </w:rPr>
        <w:t xml:space="preserve"> 与联合度分布的对角对称性，只扫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可调性</w:t>
      </w:r>
      <w:r>
        <w:rPr>
          <w:rFonts w:ascii="Times New Roman" w:cs="Times New Roman" w:eastAsia="SimSun" w:hAnsi="Times New Roman"/>
        </w:rPr>
        <w:t xml:space="preserve">：保度约束下重叠总量被度序列锁死，</w:t>
      </w:r>
      <w:r>
        <w:rPr>
          <w:rFonts w:ascii="Times New Roman" w:cs="Times New Roman" w:eastAsia="SimSun" w:hAnsi="Times New Roman"/>
          <w:b/>
          <w:bCs/>
        </w:rPr>
        <w:t xml:space="preserve">只有条件化定义才可调</w:t>
      </w:r>
      <w:r>
        <w:rPr>
          <w:rFonts w:ascii="Times New Roman" w:cs="Times New Roman" w:eastAsia="SimSun" w:hAnsi="Times New Roman"/>
        </w:rPr>
        <w:t xml:space="preserve">。</w:t>
      </w:r>
      <w:r>
        <w:rPr>
          <w:rFonts w:ascii="Times New Roman" w:cs="Times New Roman" w:eastAsia="SimSun" w:hAnsi="Times New Roman"/>
          <w:b/>
          <w:bCs/>
        </w:rPr>
        <w:t xml:space="preserve">这直接改写大纲 V.4 的实现路径</w:t>
      </w:r>
      <w:r>
        <w:rPr>
          <w:rFonts w:ascii="Times New Roman" w:cs="Times New Roman" w:eastAsia="SimSun" w:hAnsi="Times New Roman"/>
        </w:rPr>
        <w:t xml:space="preserve">：调节手柄是重叠对数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，而非重叠均值。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解析入口同时打开：把自洽方程从节点级抬到超边级（有向化的 GBCM [malizia2025gbcm]），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作为四通道转移算子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的权重进入，阈值即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。风险 2.2 关闭。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仍需拍板两处，均已在 </w:t>
      </w:r>
      <w:r>
        <w:rPr>
          <w:rFonts w:ascii="Consolas" w:eastAsia="SimSun" w:hAnsi="Consolas"/>
          <w:color w:val="3A4A5A"/>
        </w:rPr>
        <w:t xml:space="preserve">alpha-definition.md</w:t>
      </w:r>
      <w:r>
        <w:rPr>
          <w:rFonts w:ascii="Times New Roman" w:cs="Times New Roman" w:eastAsia="SimSun" w:hAnsi="Times New Roman"/>
          <w:color w:val="3A4A5A"/>
        </w:rPr>
        <w:t xml:space="preserve"> §5 标出：归一化分母取 </w:t>
      </w:r>
      <w:r>
        <w:rPr>
          <w:rFonts w:ascii="Cambria Math" w:eastAsia="SimSun" w:hAnsi="Cambria Math"/>
          <w:i/>
          <w:iCs/>
          <w:color w:val="3A4A5A"/>
        </w:rPr>
        <w:t xml:space="preserve">min</w:t>
      </w:r>
      <w:r>
        <w:rPr>
          <w:rFonts w:ascii="Times New Roman" w:cs="Times New Roman" w:eastAsia="SimSun" w:hAnsi="Times New Roman"/>
          <w:color w:val="3A4A5A"/>
        </w:rPr>
        <w:t xml:space="preserve"> 还是余弦型；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α</w:t>
      </w:r>
      <w:r>
        <w:rPr>
          <w:rFonts w:ascii="Cambria Math" w:eastAsia="SimSun" w:hAnsi="Cambria Math"/>
          <w:i w:val="false"/>
          <w:iCs w:val="false"/>
          <w:color w:val="3A4A5A"/>
          <w:vertAlign w:val="superscript"/>
        </w:rPr>
        <w:t xml:space="preserve">⇄</w:t>
      </w:r>
      <w:r>
        <w:rPr>
          <w:rFonts w:ascii="Times New Roman" w:cs="Times New Roman" w:eastAsia="SimSun" w:hAnsi="Times New Roman"/>
          <w:color w:val="3A4A5A"/>
        </w:rPr>
        <w:t xml:space="preserve"> 取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⟨</w:t>
      </w:r>
      <w:r>
        <w:rPr>
          <w:rFonts w:ascii="Cambria Math" w:eastAsia="SimSun" w:hAnsi="Cambria Math"/>
          <w:i/>
          <w:iCs/>
          <w:color w:val="3A4A5A"/>
        </w:rPr>
        <w:t xml:space="preserve">min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,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)⟩</w:t>
      </w:r>
      <w:r>
        <w:rPr>
          <w:rFonts w:ascii="Times New Roman" w:cs="Times New Roman" w:eastAsia="SimSun" w:hAnsi="Times New Roman"/>
          <w:color w:val="3A4A5A"/>
        </w:rPr>
        <w:t xml:space="preserve"> 还是直接采用 [lotito2026directed] 的 strong 互惠性定义（后者便于与第 VII 部分真实数据共用口径）。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2. C3 的收窄——已按理论严谨性重写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大纲原文"提出严格保度的有向超图生成/重连工具链"站不住：固定度的有向超图均匀采样 [kraakman2026sampling]、非退化有向超图零模型 [abuissa2026dinghy]、保度保相关的无向超图随机化 [nakajima2022randomizing] 均已存在。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C3 现改为"有向超边重叠的可计算定义 + 以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,α)</w:t>
      </w:r>
      <w:r>
        <w:rPr>
          <w:rFonts w:ascii="Times New Roman" w:cs="Times New Roman" w:eastAsia="SimSun" w:hAnsi="Times New Roman"/>
        </w:rPr>
        <w:t xml:space="preserve"> 为靶的定向重连"，并补上三条此前缺失的严谨性声明（见 I.2 末"关于 C3 的方法学声明"）：本链</w:t>
      </w:r>
      <w:r>
        <w:rPr>
          <w:rFonts w:ascii="Times New Roman" w:cs="Times New Roman" w:eastAsia="SimSun" w:hAnsi="Times New Roman"/>
          <w:b/>
          <w:bCs/>
        </w:rPr>
        <w:t xml:space="preserve">有偏、非均匀</w:t>
      </w:r>
      <w:r>
        <w:rPr>
          <w:rFonts w:ascii="Times New Roman" w:cs="Times New Roman" w:eastAsia="SimSun" w:hAnsi="Times New Roman"/>
        </w:rPr>
        <w:t xml:space="preserve">因而不可用于显著性检验、零模型基线一律外借；重叠</w:t>
      </w:r>
      <w:r>
        <w:rPr>
          <w:rFonts w:ascii="Times New Roman" w:cs="Times New Roman" w:eastAsia="SimSun" w:hAnsi="Times New Roman"/>
          <w:b/>
          <w:bCs/>
        </w:rPr>
        <w:t xml:space="preserve">总量不可调</w:t>
      </w:r>
      <w:r>
        <w:rPr>
          <w:rFonts w:ascii="Times New Roman" w:cs="Times New Roman" w:eastAsia="SimSun" w:hAnsi="Times New Roman"/>
        </w:rPr>
        <w:t xml:space="preserve">因而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必须条件化；未靶向结构量须做</w:t>
      </w:r>
      <w:r>
        <w:rPr>
          <w:rFonts w:ascii="Times New Roman" w:cs="Times New Roman" w:eastAsia="SimSun" w:hAnsi="Times New Roman"/>
          <w:b/>
          <w:bCs/>
        </w:rPr>
        <w:t xml:space="preserve">混杂审计</w:t>
      </w:r>
      <w:r>
        <w:rPr>
          <w:rFonts w:ascii="Times New Roman" w:cs="Times New Roman" w:eastAsia="SimSun" w:hAnsi="Times New Roman"/>
        </w:rPr>
        <w:t xml:space="preserve">。第二条是实现层面的硬约束，若不处理，工具 2 会在实现阶段直接失败。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 全库重扫——已重跑，且改变了本文的定位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第二轮检索（CrossRef 全量 + Semantic Scholar + 网络检索）查出一项 v1 遗漏的关键工作：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Li, Wu, Lü, Lei, "Enhancing predictive accuracy in social contagion dynamics via directed hypergraph structures", Communications Physics 7 (2024)</w:t>
      </w:r>
      <w:r>
        <w:rPr>
          <w:rFonts w:ascii="Times New Roman" w:cs="Times New Roman" w:eastAsia="SimSun" w:hAnsi="Times New Roman"/>
          <w:color w:val="3A4A5A"/>
        </w:rPr>
        <w:t xml:space="preserve"> [li2024directed]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这是有向超图上的传播动力学，发表在顶刊，v1 的"尚无工作在有向超图上给出传播理论"因此</w:t>
      </w:r>
      <w:r>
        <w:rPr>
          <w:rFonts w:ascii="Times New Roman" w:cs="Times New Roman" w:eastAsia="SimSun" w:hAnsi="Times New Roman"/>
          <w:b/>
          <w:bCs/>
        </w:rPr>
        <w:t xml:space="preserve">是错的</w:t>
      </w:r>
      <w:r>
        <w:rPr>
          <w:rFonts w:ascii="Times New Roman" w:cs="Times New Roman" w:eastAsia="SimSun" w:hAnsi="Times New Roman"/>
        </w:rPr>
        <w:t xml:space="preserve">，已删除。同轮还补入 [malizia2025gbcm]（GBCM，不可逆传播 + 阶间相关，PRL 2025）与 [lamataotin2025matrix]（超边重叠矩阵，PRE 2025）；另经互惠性检索补入 [kim2023reciprocity]（有向超图互惠性的测度与生成器，DMKD 2023）与 [lee2021overlap]（超边重叠的测度与生成器，WWW 2021）——后两篇出自数据挖掘社区，物理侧文献普遍未引，但它们在互惠性与重叠的</w:t>
      </w:r>
      <w:r>
        <w:rPr>
          <w:rFonts w:ascii="Times New Roman" w:cs="Times New Roman" w:eastAsia="SimSun" w:hAnsi="Times New Roman"/>
          <w:b/>
          <w:bCs/>
        </w:rPr>
        <w:t xml:space="preserve">测量与生成</w:t>
      </w:r>
      <w:r>
        <w:rPr>
          <w:rFonts w:ascii="Times New Roman" w:cs="Times New Roman" w:eastAsia="SimSun" w:hAnsi="Times New Roman"/>
        </w:rPr>
        <w:t xml:space="preserve">上都早于物理侧工作，审稿人若来自该社区会立刻发现。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据此全文定位已改写。</w:t>
      </w:r>
      <w:r>
        <w:rPr>
          <w:rFonts w:ascii="Times New Roman" w:cs="Times New Roman" w:eastAsia="SimSun" w:hAnsi="Times New Roman"/>
        </w:rPr>
        <w:t xml:space="preserve"> 原来的"空白"叙事整体删除，替换为四项</w:t>
      </w:r>
      <w:r>
        <w:rPr>
          <w:rFonts w:ascii="Times New Roman" w:cs="Times New Roman" w:eastAsia="SimSun" w:hAnsi="Times New Roman"/>
          <w:b/>
          <w:bCs/>
        </w:rPr>
        <w:t xml:space="preserve">方法学推进</w:t>
      </w:r>
      <w:r>
        <w:rPr>
          <w:rFonts w:ascii="Times New Roman" w:cs="Times New Roman" w:eastAsia="SimSun" w:hAnsi="Times New Roman"/>
        </w:rPr>
        <w:t xml:space="preserve">（均场→边基、单一路径→双路径互验、标量旋钮→结构相关量、社会采纳→SIR），每一项都显式指明其对照对象。C1 不再是"首个有向超图传播理论"，而是"相对 [li2024directed] 均场处理的精度升级"；C2 作为技术上最独立的一块，价值在于不依赖 C1 的近似、可充当独立验证。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这一改动同时降低了投稿风险。</w:t>
      </w:r>
      <w:r>
        <w:rPr>
          <w:rFonts w:ascii="Times New Roman" w:cs="Times New Roman" w:eastAsia="SimSun" w:hAnsi="Times New Roman"/>
          <w:color w:val="3A4A5A"/>
        </w:rPr>
        <w:t xml:space="preserve"> "填补空白"型声明只要被找出一篇先例就会崩塌，而"相对某工作做了 X 项改进"的声明是可核验的、不会被单篇文献推翻——审稿人能做的只是质疑改进幅度，那是可以用数据回答的。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引用核验同步重跑：46 条全部命中，0 未找到（详见文末）。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目标期刊已定（大纲 G-3 关闭）：物理类专业刊（PRE / Communications Physics）</w:t>
      </w:r>
      <w:r>
        <w:rPr>
          <w:rFonts w:ascii="Times New Roman" w:cs="Times New Roman" w:eastAsia="SimSun" w:hAnsi="Times New Roman"/>
        </w:rPr>
        <w:t xml:space="preserve">，走短工期路线。本稿的篇幅与叙事密度即按此撰写，无需改写。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两点随之确定的事项：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数学向路线不走，但保留为后续。</w:t>
      </w:r>
      <w:r>
        <w:rPr>
          <w:rFonts w:ascii="Times New Roman" w:cs="Times New Roman" w:eastAsia="SimSun" w:hAnsi="Times New Roman"/>
        </w:rPr>
        <w:t xml:space="preserve"> 升级为大数定律与阈值定理需额外 3–4 个月，且关键的局部弱收敛一步没有现成模板。分析、定理清单与可依托结果留在 </w:t>
      </w:r>
      <w:r>
        <w:rPr>
          <w:rFonts w:ascii="Consolas" w:eastAsia="SimSun" w:hAnsi="Consolas"/>
        </w:rPr>
        <w:t xml:space="preserve">math-journal-positioning.md</w:t>
      </w:r>
      <w:r>
        <w:rPr>
          <w:rFonts w:ascii="Times New Roman" w:cs="Times New Roman" w:eastAsia="SimSun" w:hAnsi="Times New Roman"/>
        </w:rPr>
        <w:t xml:space="preserve">，作为姊妹论文的备用方案。本稿正文因此</w:t>
      </w:r>
      <w:r>
        <w:rPr>
          <w:rFonts w:ascii="Times New Roman" w:cs="Times New Roman" w:eastAsia="SimSun" w:hAnsi="Times New Roman"/>
          <w:b/>
          <w:bCs/>
        </w:rPr>
        <w:t xml:space="preserve">不需要</w:t>
      </w:r>
      <w:r>
        <w:rPr>
          <w:rFonts w:ascii="Times New Roman" w:cs="Times New Roman" w:eastAsia="SimSun" w:hAnsi="Times New Roman"/>
        </w:rPr>
        <w:t xml:space="preserve">引入严格化谱系；</w:t>
      </w:r>
      <w:r>
        <w:rPr>
          <w:rFonts w:ascii="Consolas" w:eastAsia="SimSun" w:hAnsi="Consolas"/>
        </w:rPr>
        <w:t xml:space="preserve">references.bib</w:t>
      </w:r>
      <w:r>
        <w:rPr>
          <w:rFonts w:ascii="Times New Roman" w:cs="Times New Roman" w:eastAsia="SimSun" w:hAnsi="Times New Roman"/>
        </w:rPr>
        <w:t xml:space="preserve"> 中的 11 条相关文献暂时保留为素材池，投稿前可压缩为一句"严格化结果在成对图上已有 [janson2014lln, decreusefond2012]"，或整体删除。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审稿人风险。</w:t>
      </w:r>
      <w:r>
        <w:rPr>
          <w:rFonts w:ascii="Times New Roman" w:cs="Times New Roman" w:eastAsia="SimSun" w:hAnsi="Times New Roman"/>
        </w:rPr>
        <w:t xml:space="preserve"> [li2024directed] 本身发在 Communications Physics，投同刊时审稿人极可能就是该组——I.2 中对它的边界划分必须经得起原作者审阅。这也是 C1 必须给出"边基 vs 均场"定量对照的原因（见 </w:t>
      </w:r>
      <w:r>
        <w:rPr>
          <w:rFonts w:ascii="Consolas" w:eastAsia="SimSun" w:hAnsi="Consolas"/>
        </w:rPr>
        <w:t xml:space="preserve">execution-plan.md</w:t>
      </w:r>
      <w:r>
        <w:rPr>
          <w:rFonts w:ascii="Times New Roman" w:cs="Times New Roman" w:eastAsia="SimSun" w:hAnsi="Times New Roman"/>
        </w:rPr>
        <w:t xml:space="preserve"> 第 1 周）。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引用核验状态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全部 59 条参考文献已通过 </w:t>
      </w:r>
      <w:r>
        <w:rPr>
          <w:rFonts w:ascii="Consolas" w:eastAsia="SimSun" w:hAnsi="Consolas"/>
        </w:rPr>
        <w:t xml:space="preserve">cite-verify</w:t>
      </w:r>
      <w:r>
        <w:rPr>
          <w:rFonts w:ascii="Times New Roman" w:cs="Times New Roman" w:eastAsia="SimSun" w:hAnsi="Times New Roman"/>
        </w:rPr>
        <w:t xml:space="preserve"> 核验（第三轮，含数学向文献）：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状态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verified（≥2 个独立数据库命中）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suspicious（仅 CrossRef 命中，因 S2/OpenAlex 限流）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not_found（疑似虚构）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9 条 suspicious 全部为</w:t>
      </w:r>
      <w:r>
        <w:rPr>
          <w:rFonts w:ascii="Times New Roman" w:cs="Times New Roman" w:eastAsia="SimSun" w:hAnsi="Times New Roman"/>
          <w:b/>
          <w:bCs/>
        </w:rPr>
        <w:t xml:space="preserve">限流造成的单源命中或 LaTeX 重音解析假象</w:t>
      </w:r>
      <w:r>
        <w:rPr>
          <w:rFonts w:ascii="Times New Roman" w:cs="Times New Roman" w:eastAsia="SimSun" w:hAnsi="Times New Roman"/>
        </w:rPr>
        <w:t xml:space="preserve">，其标题在 CrossRef 中相似度均为 100%。触发的红旗全部为解析假象，已逐条手工回查 CrossRef 确认：</w:t>
      </w:r>
      <w:r>
        <w:rPr>
          <w:rFonts w:ascii="Consolas" w:eastAsia="SimSun" w:hAnsi="Consolas"/>
        </w:rPr>
        <w:t xml:space="preserve">pastorsatorras2001</w:t>
      </w:r>
      <w:r>
        <w:rPr>
          <w:rFonts w:ascii="Times New Roman" w:cs="Times New Roman" w:eastAsia="SimSun" w:hAnsi="Times New Roman"/>
        </w:rPr>
        <w:t xml:space="preserve"> 的"作者不匹配"来自匹配到同名书籍章节的作者拼写错误版本；</w:t>
      </w:r>
      <w:r>
        <w:rPr>
          <w:rFonts w:ascii="Consolas" w:eastAsia="SimSun" w:hAnsi="Consolas"/>
        </w:rPr>
        <w:t xml:space="preserve">boguna2005directed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onsolas" w:eastAsia="SimSun" w:hAnsi="Consolas"/>
        </w:rPr>
        <w:t xml:space="preserve">lamataotin2025matrix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onsolas" w:eastAsia="SimSun" w:hAnsi="Consolas"/>
        </w:rPr>
        <w:t xml:space="preserve">malizia2025overlap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onsolas" w:eastAsia="SimSun" w:hAnsi="Consolas"/>
        </w:rPr>
        <w:t xml:space="preserve">malizia2025gbcm</w:t>
      </w:r>
      <w:r>
        <w:rPr>
          <w:rFonts w:ascii="Times New Roman" w:cs="Times New Roman" w:eastAsia="SimSun" w:hAnsi="Times New Roman"/>
        </w:rPr>
        <w:t xml:space="preserve"> 的"单字作者名"与"作者不匹配"均由 LaTeX 重音转义（如 </w:t>
      </w:r>
      <w:r>
        <w:rPr>
          <w:rFonts w:ascii="Consolas" w:eastAsia="SimSun" w:hAnsi="Consolas"/>
        </w:rPr>
        <w:t xml:space="preserve">Bogu{\~n}{\'a}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onsolas" w:eastAsia="SimSun" w:hAnsi="Consolas"/>
        </w:rPr>
        <w:t xml:space="preserve">Lamata-Ot{\'i}n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onsolas" w:eastAsia="SimSun" w:hAnsi="Consolas"/>
        </w:rPr>
        <w:t xml:space="preserve">Guzm{\'a}n</w:t>
      </w:r>
      <w:r>
        <w:rPr>
          <w:rFonts w:ascii="Times New Roman" w:cs="Times New Roman" w:eastAsia="SimSun" w:hAnsi="Times New Roman"/>
        </w:rPr>
        <w:t xml:space="preserve">）导致。参考文献见 </w:t>
      </w:r>
      <w:r>
        <w:rPr>
          <w:rFonts w:ascii="Consolas" w:eastAsia="SimSun" w:hAnsi="Consolas"/>
        </w:rPr>
        <w:t xml:space="preserve">references.bib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2"/>
        <w:spacing w:after="160" w:before="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spacing w:after="120" w:before="120" w:line="320"/>
      </w:pPr>
      <w:r>
        <w:rPr>
          <w:rFonts w:ascii="Times New Roman" w:cs="Times New Roman" w:eastAsia="SimSun" w:hAnsi="Times New Roman"/>
        </w:rPr>
        <w:t xml:space="preserve">按 BibTeX key 字母序排列，正文中的 [key] 与此处一一对应。全部条目已通过 cite-verify 核验。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[abuissa2026dinghy]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Maryam Abuissa, Matteo Riondato, Eli Upfal (2026) DiNgHy: null models for non-degenerate directed hypergraphs. Data Mining and Knowledge Discovery 40.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doi:10.1007/s10618-026-01209-8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[ball2014intersection]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Frank G. Ball, David J. Sirl, Pieter Trapman (2014) Epidemics on random intersection graphs. The Annals of Applied Probability 24.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doi:10.1214/13-AAP942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[barbour2013]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Andrew Barbour, Gesine Reinert (2013) Approximating the epidemic curve. Electronic Journal of Probability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doi:10.1214/EJP.v18-2557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Giulia Cencetti, Iacopo Iacopini, Vito Latora, Maxime Lucas, Alice Patania et al. (2020) Networks beyond pairwise interactions: Structure and dynamics. Physics Reports 874, 1–92.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doi:10.1016/j.physrep.2020.05.004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[battiston2021]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Enrico Amico, Alain Barrat, Ginestra Bianconi, Guilherme Ferraz de Arruda, Benedetta Franceschiello et al. (2021) The physics of higher-order interactions in complex systems. Nature Physics 17, 1093–1098.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doi:10.1038/s41567-021-01371-4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[baxter2010bootstrap]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G. J. Baxter, S. N. Dorogovtsev, A. V. Goltsev, J. F. F. Mendes (2010) Bootstrap percolation on complex networks. Physical Review E 82, 011103.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doi:10.1103/PhysRevE.82.011103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[benson2018] </w:t>
      </w:r>
      <w:r>
        <w:rPr>
          <w:rFonts w:ascii="Times New Roman" w:cs="Times New Roman" w:eastAsia="SimSun" w:hAnsi="Times New Roman"/>
          <w:sz w:val="19"/>
          <w:szCs w:val="19"/>
        </w:rPr>
        <w:t xml:space="preserve">Austin R. Benson, Rediet Abebe, Michael T. Schaub, Ali Jadbabaie, Jon Kleinberg (2018) Simplicial closure and higher-order link prediction. Proceedings of the National Academy of Sciences 115, E11221–E11230.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doi:10.1073/pnas.1800683115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[bianconi2024percolation]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Ginestra Bianconi, Sergey N. Dorogovtsev (2024) Theory of percolation on hypergraphs. Physical Review E 109, 014306.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doi:10.1103/PhysRevE.109.014306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[boguna2005directed]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Marián Boguñá, M. Ángeles Serrano (2005) Generalized percolation in random directed networks. Physical Review E 72, 016106.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doi:10.1103/PhysRevE.72.016106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[bohman2012]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Tom Bohman, Michael Picollelli (2012) SIR epidemics on random graphs with a fixed degree sequence. Random Structures &amp; Algorithms 41.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[bollobas2007inhomogeneous]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Svante Janson, Oliver Riordan (2007) The phase transition in inhomogeneous random graphs. Random Structures &amp; Algorithms 31.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doi:10.1002/rsa.20168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[bollobas2016martingales]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Oliver Riordan (2016) Exploring hypergraphs with martingales. Random Structures &amp; Algorithms 50.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doi:10.1002/rsa.20678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[cai2021directed]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Xing Shi Cai, Guillem Perarnau (2021) The giant component of the directed configuration model revisited. Latin American Journal of Probability and Mathematical Statistics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doi:10.30757/ALEA.v18-55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[centola2007]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Damon Centola, Michael Macy (2007) Complex contagions and the weakness of long ties. American Journal of Sociology 113, 702–734.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doi:10.1086/521848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[chodrow2020]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Philip S. Chodrow (2020) Configuration models of random hypergraphs. Journal of Complex Networks 8, cnaa018.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doi:10.1093/comnet/cnaa018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[contrerasaso2024beyond] </w:t>
      </w:r>
      <w:r>
        <w:rPr>
          <w:rFonts w:ascii="Times New Roman" w:cs="Times New Roman" w:eastAsia="SimSun" w:hAnsi="Times New Roman"/>
          <w:sz w:val="19"/>
          <w:szCs w:val="19"/>
        </w:rPr>
        <w:t xml:space="preserve">Gonzalo Contreras-Aso, Regino Criado, Miguel Romance (2024) Beyond directed hypergraphs: heterogeneous hypergraphs and spectral centralities. Journal of Complex Networks 12.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doi:10.1093/comnet/cnae037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[cooper2004scc] </w:t>
      </w:r>
      <w:r>
        <w:rPr>
          <w:rFonts w:ascii="Times New Roman" w:cs="Times New Roman" w:eastAsia="SimSun" w:hAnsi="Times New Roman"/>
          <w:sz w:val="19"/>
          <w:szCs w:val="19"/>
        </w:rPr>
        <w:t xml:space="preserve">Colin Cooper, Alan Frieze (2004) The Size of the Largest Strongly Connected Component of a Random Digraph with a Given Degree Sequence. Combinatorics, Probability and Computing 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doi:10.1017/S096354830400611X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Giovanni Petri, Yamir Moreno (2020) Social contagion models on hypergraphs. Physical Review Research 2, 023032.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doi:10.1103/PhysRevResearch.2.023032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[dearruda2024review]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Alberto Aleta, Yamir Moreno (2024) Contagion dynamics on higher-order networks. Nature Reviews Physics 6, 468–482.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doi:10.1038/s42254-024-00733-0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[decreusefond2012]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Laurent Decreusefond, Jean-Stéphane Dhersin, Pascal Moyal, Viet Chi Tran (2012) Large graph limit for an SIR process in random network with heterogeneous connectivity. The Annals of Applied Probability 22.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doi:10.1214/11-AAP773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[dorogovtsev2001giant]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J. F. F. Mendes, A. N. Samukhin (2001) Giant strongly connected component of directed networks. Physical Review E 64, 025101.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doi:10.1103/PhysRevE.64.025101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[dorogovtsev2006kcore]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A. V. Goltsev, J. F. F. Mendes (2006) k-core organization of complex networks. Physical Review Letters 96, 040601.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doi:10.1103/PhysRevLett.96.040601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[gallo1993]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Giorgio Gallo, Giustino Longo, Stefano Pallottino, Sang Nguyen (1993) Directed hypergraphs and applications. Discrete Applied Mathematics 42, 177–201.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doi:10.1016/0166-218X(93)90045-P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[gallo2024memory] </w:t>
      </w:r>
      <w:r>
        <w:rPr>
          <w:rFonts w:ascii="Times New Roman" w:cs="Times New Roman" w:eastAsia="SimSun" w:hAnsi="Times New Roman"/>
          <w:sz w:val="19"/>
          <w:szCs w:val="19"/>
        </w:rPr>
        <w:t xml:space="preserve">Luca Gallo, Lucas Lacasa, Vito Latora, Federico Battiston (2024) Higher-order correlations reveal complex memory in temporal hypergraphs. Nature Communications 15.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doi:10.1038/s41467-024-48578-6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[gillespie1977]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Daniel T. Gillespie (1977) Exact stochastic simulation of coupled chemical reactions. The Journal of Physical Chemistry 81, 2340–2361.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doi:10.1021/j100540a008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[grassberger1983]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Peter Grassberger (1983) On the critical behavior of the general epidemic process and dynamical percolation. Mathematical Biosciences 63, 157–172.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doi:10.1016/0025-5564(82)90036-0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[iacopini2019] </w:t>
      </w:r>
      <w:r>
        <w:rPr>
          <w:rFonts w:ascii="Times New Roman" w:cs="Times New Roman" w:eastAsia="SimSun" w:hAnsi="Times New Roman"/>
          <w:sz w:val="19"/>
          <w:szCs w:val="19"/>
        </w:rPr>
        <w:t xml:space="preserve">Iacopo Iacopini, Giovanni Petri, Alain Barrat, Vito Latora (2019) Simplicial models of social contagion. Nature Communications 10, 2485.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doi:10.1038/s41467-019-10431-6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[janson2014lln]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 (2014) Law of large numbers for the SIR epidemic on a random graph with given degrees. Random Structures &amp; Algorithms 45.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doi:10.1002/rsa.20575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[janson2016nearcritical]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Windridge, Thomas House (2016) Near-critical SIR epidemic on a random graph with given degrees. Journal of Mathematical Biology 74.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doi:10.1007/s00285-016-1043-z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[kenah2007]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Eben Kenah, James M. Robins (2007) Second look at the spread of epidemics on networks. Physical Review E 76, 036113.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doi:10.1103/PhysRevE.76.036113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[kim2023reciprocity]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Sunwoo Kim, Minyoung Choe, Jaemin Yoo, Kijung Shin (2023) Reciprocity in directed hypergraphs: measures, findings, and generators. Data Mining and Knowledge Discovery.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doi:10.1007/s10618-023-00955-3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[kim2024components]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Jung-Ho Kim, K.-I. Goh (2024) Higher-Order Components Dictate Higher-Order Contagion Dynamics in Hypergraphs. Physical Review Letters 132, 087401.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doi:10.1103/PhysRevLett.132.087401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[klamt2009] </w:t>
      </w:r>
      <w:r>
        <w:rPr>
          <w:rFonts w:ascii="Times New Roman" w:cs="Times New Roman" w:eastAsia="SimSun" w:hAnsi="Times New Roman"/>
          <w:sz w:val="19"/>
          <w:szCs w:val="19"/>
        </w:rPr>
        <w:t xml:space="preserve">Steffen Klamt, Utz-Uwe Haus, Fabian Theis (2009) Hypergraphs and cellular networks. PLoS Computational Biology 5, e1000385.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doi:10.1371/journal.pcbi.1000385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[kraakman2026sampling]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Yanna J. Kraakman, Clara Stegehuis (2026) Uniformly sampling random directed hypergraphs with fixed degrees. Discrete Mathematics 349, 114961.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doi:10.1016/j.disc.2025.114961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[lamataotin2025matrix] </w:t>
      </w:r>
      <w:r>
        <w:rPr>
          <w:rFonts w:ascii="Times New Roman" w:cs="Times New Roman" w:eastAsia="SimSun" w:hAnsi="Times New Roman"/>
          <w:sz w:val="19"/>
          <w:szCs w:val="19"/>
        </w:rPr>
        <w:t xml:space="preserve">Santiago Lamata-Otín, Federico Malizia, Vito Latora, Mattia Frasca, Jesús Gómez-Gardeñes (2025) Hyperedge overlap drives synchronizability of systems with higher-order interactions. Physical Review E 111, 034302.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doi:10.1103/PhysRevE.111.034302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[landry2020]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Nicholas W. Landry, Juan G. Restrepo (2020) The effect of heterogeneity on hypergraph contagion models. Chaos 30, 103117.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doi:10.1063/5.0020034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[lee2021overlap]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Geon Lee, Minyoung Choe, Kijung Shin (2021) How Do Hyperedges Overlap in Real-World Hypergraphs? - Patterns, Measures, and Generators. Proceedings of the Web Conference 2021.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doi:10.1145/3442381.3450010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[li2024directed]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Juyi Li, Xiaoqun Wu, Jinhu Lü, Ling Lei (2024) Enhancing predictive accuracy in social contagion dynamics via directed hypergraph structures. Communications Physics 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doi:10.1038/s42005-024-01614-9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[lotito2026directed]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Quintino Francesco Lotito, Alberto Vendramini, Alberto Montresor, Federico Battiston (2026) The microscale organization of directed hypergraphs. Communications Physics 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doi:10.1038/s42005-025-02472-9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[malizia2025gbcm]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Andrés Guzmán, Iacopo Iacopini, István Z. Kiss (2025) Disentangling the Role of Heterogeneity and Hyperedge Overlap in Explosive Contagion on Higher-Order Networks. Physical Review Letters.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doi:10.1103/z3d5-94zb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Santiago Lamata-Otín, Mattia Frasca, Vito Latora, Jesús Gómez-Gardeñes (2025) Hyperedge overlap drives explosive transitions in systems with higher-order interactions. Nature Communications 16.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doi:10.1038/s41467-024-55506-1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[mancastroppa2023]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Marco Mancastroppa, Iacopo Iacopini, Giovanni Petri, Alain Barrat (2023) Hyper-cores promote localization and efficient seeding in higher-order processes. Nature Communications 14, 6223.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doi:10.1038/s41467-023-41887-2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[meyers2006directed]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 Ancel Meyers, M. E. J. Newman, Babak Pourbohloul (2006) Predicting epidemics on directed contact networks. Journal of Theoretical Biology 240, 400–418.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doi:10.1016/j.jtbi.2005.10.004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[miller2012ebcm]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Joel C. Miller, Anja C. Slim, Erik M. Volz (2012) Edge-based compartmental modelling for infectious disease spread. Journal of the Royal Society Interface 9, 890–906.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doi:10.1098/rsif.2011.0403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[morrison2021bootstrap]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Natasha Morrison, Jonathan A. Noel (2021) A sharp threshold for bootstrap percolation in a random hypergraph. Electronic Journal of Probability 26.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doi:10.1214/21-EJP650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[nakajima2022randomizing]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Kazuki Nakajima, Kazuyuki Shudo, Naoki Masuda (2022) Randomizing Hypergraphs Preserving Degree Correlation and Local Clustering. IEEE Transactions on Network Science and Engineering 9, 1139–1153.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doi:10.1109/TNSE.2021.3133380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[newman2001random]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Newman, S. H. Strogatz, D. J. Watts (2001) Random graphs with arbitrary degree distributions and their applications. Physical Review E 64, 026118.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doi:10.1103/PhysRevE.64.026118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[newman2002assortative]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Assortative mixing in networks. Physical Review Letters 89, 208701.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doi:10.1103/PhysRevLett.89.208701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[newman2002spread]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Spread of epidemic disease on networks. Physical Review E 66, 016128.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doi:10.1103/PhysRevE.66.016128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[pastorsatorras2001]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Alessandro Vespignani (2001) Epidemic spreading in scale-free networks. Physical Review Letters 86, 3200–3203.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doi:10.1103/PhysRevLett.86.3200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[pastorsatorras2015]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Claudio Castellano, Piet Van Mieghem, Alessandro Vespignani (2015) Epidemic processes in complex networks. Reviews of Modern Physics 87, 925–979.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doi:10.1103/RevModPhys.87.925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[stonge2021prl]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Hanlin Sun, Antoine Allard, Laurent Hébert-Dufresne, Ginestra Bianconi (2021) Universal nonlinear infection kernel from heterogeneous exposure on higher-order networks. Physical Review Letters 127, 158301.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doi:10.1103/PhysRevLett.127.158301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[stonge2022]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Iacopo Iacopini, Vito Latora, Alain Barrat, Giovanni Petri, Antoine Allard et al. (2022) Influential groups for seeding and sustaining nonlinear contagion in heterogeneous hypergraphs. Communications Physics 5, 25.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doi:10.1038/s42005-021-00788-w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[sun2021multiplex]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Ginestra Bianconi (2021) Higher-order percolation processes on multiplex hypergraphs. Physical Review E 104, 034306.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doi:10.1103/PhysRevE.104.034306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[sun2023triadic]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Filippo Radicchi, Jürgen Kurths, Ginestra Bianconi (2023) The dynamic nature of percolation on networks with triadic interactions. Nature Communications 14, 1308.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doi:10.1038/s41467-023-37019-5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[vanmieghem2013]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P. Van Mieghem, R. van de Bovenkamp (2013) Non-Markovian infection spread dramatically alters the susceptible-infected-susceptible epidemic threshold in networks. Physical Review Letters 110, 108701.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doi:10.1103/PhysRevLett.110.108701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[volz2008] </w:t>
      </w:r>
      <w:r>
        <w:rPr>
          <w:rFonts w:ascii="Times New Roman" w:cs="Times New Roman" w:eastAsia="SimSun" w:hAnsi="Times New Roman"/>
          <w:sz w:val="19"/>
          <w:szCs w:val="19"/>
        </w:rPr>
        <w:t xml:space="preserve">Erik Volz (2008) SIR dynamics in random networks with heterogeneous connectivity. Journal of Mathematical Biology 56, 293–310.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doi:10.1007/s00285-007-0116-4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[watts2002] </w:t>
      </w:r>
      <w:r>
        <w:rPr>
          <w:rFonts w:ascii="Times New Roman" w:cs="Times New Roman" w:eastAsia="SimSun" w:hAnsi="Times New Roman"/>
          <w:sz w:val="19"/>
          <w:szCs w:val="19"/>
        </w:rPr>
        <w:t xml:space="preserve">Duncan J. Watts (2002) A simple model of global cascades on random networks. Proceedings of the National Academy of Sciences 99, 5766–5771.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doi:10.1073/pnas.082090499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[xu2018directionality]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Xin-Jian Xu, Jia-Yan Li, Xinchu Fu, Li-Jie Zhang (2018) Impact of directionality and correlation on contagion. Scientific Reports 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doi:10.1038/s41598-018-22508-1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2026-08-08T14:10:19.145Z</dcterms:created>
  <dcterms:modified xsi:type="dcterms:W3CDTF">2026-08-08T14:10:19.145Z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