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用私有数据的话，选哪些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对应大纲 1.1（真实数据）· 第 VII 部分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前提：目标期刊已定为物理刊，短工期路线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0. 先说一件会改变期刊选择的事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用私有数据，</w:t>
      </w:r>
      <w:r>
        <w:rPr>
          <w:rFonts w:ascii="Times New Roman" w:cs="Times New Roman" w:eastAsia="SimSun" w:hAnsi="Times New Roman"/>
          <w:b/>
          <w:bCs/>
        </w:rPr>
        <w:t xml:space="preserve">PRE 与 Communications Physics 的风险差别很大</w:t>
      </w:r>
      <w:r>
        <w:rPr>
          <w:rFonts w:ascii="Times New Roman" w:cs="Times New Roman" w:eastAsia="SimSun" w:hAnsi="Times New Roman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Physical Review E（APS）</w:t>
            </w: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Communications Physics（Springer Nature）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数据可得性声明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强制，从预设选项中选一条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强制，须随稿提交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数据不能公开时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须给出理由，并同意应要求向编辑/审稿人私下共享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须在投稿时向编辑披露全部限制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对录用的影响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明确声明：只要满足上述两条，是否公开共享数据不影响录用决定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编辑保留权利：若认为限制"过度妨碍"，可直接拒稿</w:t>
            </w:r>
          </w:p>
        </w:tc>
      </w:tr>
    </w:tbl>
    <w:p>
      <w:pPr>
        <w:spacing w:after="160"/>
      </w:pP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结论：若第 VII 部分用私有数据，优先投 PRE。</w:t>
      </w:r>
      <w:r>
        <w:rPr>
          <w:rFonts w:ascii="Times New Roman" w:cs="Times New Roman" w:eastAsia="SimSun" w:hAnsi="Times New Roman"/>
        </w:rPr>
        <w:t xml:space="preserve"> APS 的政策把"不公开"明确排除在录用判据之外，Springer Nature 则把它留成编辑的自由裁量。这一条足以在两刊之间做决定——而你之前倾向的 Communications Physics 恰好是风险更高的那个（还叠加了 [li2024directed] 同刊、审稿人可能是原作者组的风险）。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另需注意：两刊都要求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能向审稿人提供数据</w:t>
      </w:r>
      <w:r>
        <w:rPr>
          <w:rFonts w:ascii="Times New Roman" w:cs="Times New Roman" w:eastAsia="SimSun" w:hAnsi="Times New Roman"/>
          <w:color w:val="3A4A5A"/>
        </w:rPr>
        <w:t xml:space="preserve">。如果私有数据连审稿人都不能看（涉密、合规禁止），那不是"投哪家"的问题，而是这份数据不能用来支撑论文的核心主张——只能降级为定性佐证。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1. 本文对数据的硬性要求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不是任何有向超图都能撑起第 VII 部分。按模型倒推，四条硬要求：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尾/头语义必须是"影响的施加方向"，不能只是"关系的方向"。</w:t>
      </w:r>
      <w:r>
        <w:rPr>
          <w:rFonts w:ascii="Times New Roman" w:cs="Times New Roman" w:eastAsia="SimSun" w:hAnsi="Times New Roman"/>
        </w:rPr>
        <w:t xml:space="preserve"> SIR 的语义是尾集感染 → 对头集施压。数据里的箭头必须能读成这个意思，否则整章是错配。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重叠必须非平凡。</w:t>
      </w:r>
      <w:r>
        <w:rPr>
          <w:rFonts w:ascii="Times New Roman" w:cs="Times New Roman" w:eastAsia="SimSun" w:hAnsi="Times New Roman"/>
        </w:rPr>
        <w:t xml:space="preserve"> 四通道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是 VI.1/VI.2 的主轴。若数据近似树状、超边之间几乎不共享节点，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全为零，核心结果没有数据支撑。</w:t>
      </w:r>
      <w:r>
        <w:rPr>
          <w:rFonts w:ascii="Times New Roman" w:cs="Times New Roman" w:eastAsia="SimSun" w:hAnsi="Times New Roman"/>
          <w:b/>
          <w:bCs/>
        </w:rPr>
        <w:t xml:space="preserve">这是筛选第一关。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τ&gt;1</w:t>
      </w:r>
      <w:r>
        <w:rPr>
          <w:rFonts w:ascii="Times New Roman" w:cs="Times New Roman" w:eastAsia="SimSun" w:hAnsi="Times New Roman"/>
          <w:b/>
          <w:bCs/>
        </w:rPr>
        <w:t xml:space="preserve"> 且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η&gt;1</w:t>
      </w:r>
      <w:r>
        <w:rPr>
          <w:rFonts w:ascii="Times New Roman" w:cs="Times New Roman" w:eastAsia="SimSun" w:hAnsi="Times New Roman"/>
          <w:b/>
          <w:bCs/>
        </w:rPr>
        <w:t xml:space="preserve">（至少尾侧要大于 1）。</w:t>
      </w:r>
      <w:r>
        <w:rPr>
          <w:rFonts w:ascii="Times New Roman" w:cs="Times New Roman" w:eastAsia="SimSun" w:hAnsi="Times New Roman"/>
        </w:rPr>
        <w:t xml:space="preserve"> 若 </w:t>
      </w:r>
      <w:r>
        <w:rPr>
          <w:rFonts w:ascii="Cambria Math" w:eastAsia="SimSun" w:hAnsi="Cambria Math"/>
          <w:i w:val="false"/>
          <w:iCs w:val="false"/>
        </w:rPr>
        <w:t xml:space="preserve">τ=1</w:t>
      </w:r>
      <w:r>
        <w:rPr>
          <w:rFonts w:ascii="Times New Roman" w:cs="Times New Roman" w:eastAsia="SimSun" w:hAnsi="Times New Roman"/>
        </w:rPr>
        <w:t xml:space="preserve">（单一发送方），模型退化为 III.3 的 sanity-check 情形，高阶卖点被削掉一半。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Δα=1/2(α</w:t>
      </w:r>
      <w:r>
        <w:rPr>
          <w:rFonts w:ascii="Cambria Math" w:eastAsia="SimSun" w:hAnsi="Cambria Math"/>
          <w:b/>
          <w:bCs/>
          <w:i w:val="false"/>
          <w:iCs w:val="false"/>
          <w:vertAlign w:val="superscript"/>
        </w:rPr>
        <w:t xml:space="preserve">TT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-α</w:t>
      </w:r>
      <w:r>
        <w:rPr>
          <w:rFonts w:ascii="Cambria Math" w:eastAsia="SimSun" w:hAnsi="Cambria Math"/>
          <w:b/>
          <w:bCs/>
          <w:i w:val="false"/>
          <w:iCs w:val="false"/>
          <w:vertAlign w:val="superscript"/>
        </w:rPr>
        <w:t xml:space="preserve">HH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)≠0</w:t>
      </w:r>
      <w:r>
        <w:rPr>
          <w:rFonts w:ascii="Times New Roman" w:cs="Times New Roman" w:eastAsia="SimSun" w:hAnsi="Times New Roman"/>
          <w:b/>
          <w:bCs/>
        </w:rPr>
        <w:t xml:space="preserve">。</w:t>
      </w:r>
      <w:r>
        <w:rPr>
          <w:rFonts w:ascii="Times New Roman" w:cs="Times New Roman" w:eastAsia="SimSun" w:hAnsi="Times New Roman"/>
        </w:rPr>
        <w:t xml:space="preserve"> 这是方向对称性破缺（C4）唯一的实测抓手。若数据里共发与共收重叠恰好相当，破缺一章没有真实数据可对照。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规模上：节点数 </w:t>
      </w:r>
      <w:r>
        <w:rPr>
          <w:rFonts w:ascii="Cambria Math" w:eastAsia="SimSun" w:hAnsi="Cambria Math"/>
          <w:i w:val="false"/>
          <w:iCs w:val="false"/>
        </w:rPr>
        <w:t xml:space="preserve">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3</w:t>
      </w:r>
      <w:r>
        <w:rPr>
          <w:rFonts w:ascii="Times New Roman" w:cs="Times New Roman" w:eastAsia="SimSun" w:hAnsi="Times New Roman"/>
        </w:rPr>
        <w:t xml:space="preserve">–</w:t>
      </w:r>
      <w:r>
        <w:rPr>
          <w:rFonts w:ascii="Cambria Math" w:eastAsia="SimSun" w:hAnsi="Cambria Math"/>
          <w:i w:val="false"/>
          <w:iCs w:val="false"/>
        </w:rPr>
        <w:t xml:space="preserve">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4</w:t>
      </w:r>
      <w:r>
        <w:rPr>
          <w:rFonts w:ascii="Times New Roman" w:cs="Times New Roman" w:eastAsia="SimSun" w:hAnsi="Times New Roman"/>
        </w:rPr>
        <w:t xml:space="preserve"> 量级即可（生成器自检用的是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=3000</w:t>
      </w:r>
      <w:r>
        <w:rPr>
          <w:rFonts w:ascii="Times New Roman" w:cs="Times New Roman" w:eastAsia="SimSun" w:hAnsi="Times New Roman"/>
        </w:rPr>
        <w:t xml:space="preserve">），超边数不宜少于节点数。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2. 私有数据类型排序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A 档：代谢 / 化学反应网络　</w:t>
      </w: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最推荐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反应即"底物集 → 产物集"，天然是有向超边，且 </w:t>
      </w:r>
      <w:r>
        <w:rPr>
          <w:rFonts w:ascii="Cambria Math" w:eastAsia="SimSun" w:hAnsi="Cambria Math"/>
          <w:i w:val="false"/>
          <w:iCs w:val="false"/>
        </w:rPr>
        <w:t xml:space="preserve">τ&gt;1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η&gt;1</w:t>
      </w:r>
      <w:r>
        <w:rPr>
          <w:rFonts w:ascii="Times New Roman" w:cs="Times New Roman" w:eastAsia="SimSun" w:hAnsi="Times New Roman"/>
        </w:rPr>
        <w:t xml:space="preserve"> 同时成立。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为什么它比其他选项好一档：群体阈值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  <w:b/>
          <w:bCs/>
        </w:rPr>
        <w:t xml:space="preserve"> 在这里有真实的物理对应。</w:t>
      </w:r>
      <w:r>
        <w:rPr>
          <w:rFonts w:ascii="Times New Roman" w:cs="Times New Roman" w:eastAsia="SimSun" w:hAnsi="Times New Roman"/>
        </w:rPr>
        <w:t xml:space="preserve"> 一个反应要发生，所有底物必须齐备——这就是一个 AND 门，即 </w:t>
      </w:r>
      <w:r>
        <w:rPr>
          <w:rFonts w:ascii="Cambria Math" w:eastAsia="SimSun" w:hAnsi="Cambria Math"/>
          <w:i w:val="false"/>
          <w:iCs w:val="false"/>
        </w:rPr>
        <w:t xml:space="preserve">θ=τ</w:t>
      </w:r>
      <w:r>
        <w:rPr>
          <w:rFonts w:ascii="Times New Roman" w:cs="Times New Roman" w:eastAsia="SimSun" w:hAnsi="Times New Roman"/>
        </w:rPr>
        <w:t xml:space="preserve">。本文的群体阈值机制在别的数据里都是类比，只有在这里是字面意义上的机制。这一点值得在正文里明说。</w:t>
      </w:r>
    </w:p>
    <w:p>
      <w:pPr>
        <w:pStyle w:val="ListParagraph"/>
        <w:numPr>
          <w:ilvl w:val="0"/>
          <w:numId w:val="3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私有来源：实验室自建的未发表菌株/物种代谢重建模型、企业代谢工程模型、机构授权的商业数据库版本</w:t>
      </w:r>
    </w:p>
    <w:p>
      <w:pPr>
        <w:pStyle w:val="ListParagraph"/>
        <w:numPr>
          <w:ilvl w:val="0"/>
          <w:numId w:val="3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传统衔接：[klamt2009] 已确立代谢网络的超图表示，物理刊读者认这条线</w:t>
      </w:r>
    </w:p>
    <w:p>
      <w:pPr>
        <w:pStyle w:val="ListParagraph"/>
        <w:numPr>
          <w:ilvl w:val="0"/>
          <w:numId w:val="3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重叠丰富：共享代谢物极多，四通道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都非平凡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一个必须处理的坑：</w:t>
      </w:r>
      <w:r>
        <w:rPr>
          <w:rFonts w:ascii="Times New Roman" w:cs="Times New Roman" w:eastAsia="SimSun" w:hAnsi="Times New Roman"/>
          <w:color w:val="3A4A5A"/>
        </w:rPr>
        <w:t xml:space="preserve"> ATP、NAD(H)、H₂O、H⁺、CoA 这类 currency metabolite 参与几乎所有反应，会完全支配重叠统计——不剔除的话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α</w:t>
      </w:r>
      <w:r>
        <w:rPr>
          <w:rFonts w:ascii="Times New Roman" w:cs="Times New Roman" w:eastAsia="SimSun" w:hAnsi="Times New Roman"/>
          <w:color w:val="3A4A5A"/>
        </w:rPr>
        <w:t xml:space="preserve"> 测的其实是"有多少反应用 ATP"。剔除是该领域标准操作，但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必须在正文写清剔除清单与敏感性检查</w:t>
      </w:r>
      <w:r>
        <w:rPr>
          <w:rFonts w:ascii="Times New Roman" w:cs="Times New Roman" w:eastAsia="SimSun" w:hAnsi="Times New Roman"/>
          <w:color w:val="3A4A5A"/>
        </w:rPr>
        <w:t xml:space="preserve">，否则审稿人第一条意见就是这个。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B 档：多方交易 / 供应链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供应商集 → 采购方集；或多输入多输出的资金流转。</w:t>
      </w:r>
      <w:r>
        <w:rPr>
          <w:rFonts w:ascii="Cambria Math" w:eastAsia="SimSun" w:hAnsi="Cambria Math"/>
          <w:i w:val="false"/>
          <w:iCs w:val="false"/>
        </w:rPr>
        <w:t xml:space="preserve">τ&gt;1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η&gt;1</w:t>
      </w:r>
      <w:r>
        <w:rPr>
          <w:rFonts w:ascii="Times New Roman" w:cs="Times New Roman" w:eastAsia="SimSun" w:hAnsi="Times New Roman"/>
        </w:rPr>
        <w:t xml:space="preserve"> 自然成立。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对 C4 特别有价值</w:t>
      </w:r>
      <w:r>
        <w:rPr>
          <w:rFonts w:ascii="Times New Roman" w:cs="Times New Roman" w:eastAsia="SimSun" w:hAnsi="Times New Roman"/>
        </w:rPr>
        <w:t xml:space="preserve">：上游集中、下游分散是这类系统的常态，因此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TT</w:t>
      </w:r>
      <w:r>
        <w:rPr>
          <w:rFonts w:ascii="Cambria Math" w:eastAsia="SimSun" w:hAnsi="Cambria Math"/>
          <w:i w:val="false"/>
          <w:iCs w:val="false"/>
        </w:rPr>
        <w:t xml:space="preserve">≠α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HH</w:t>
      </w:r>
      <w:r>
        <w:rPr>
          <w:rFonts w:ascii="Times New Roman" w:cs="Times New Roman" w:eastAsia="SimSun" w:hAnsi="Times New Roman"/>
        </w:rPr>
        <w:t xml:space="preserve"> 很可能显著，</w:t>
      </w:r>
      <w:r>
        <w:rPr>
          <w:rFonts w:ascii="Cambria Math" w:eastAsia="SimSun" w:hAnsi="Cambria Math"/>
          <w:i w:val="false"/>
          <w:iCs w:val="false"/>
        </w:rPr>
        <w:t xml:space="preserve">Δα≠0</w:t>
      </w:r>
      <w:r>
        <w:rPr>
          <w:rFonts w:ascii="Times New Roman" w:cs="Times New Roman" w:eastAsia="SimSun" w:hAnsi="Times New Roman"/>
        </w:rPr>
        <w:t xml:space="preserve"> 有真实来源——这正是破缺实验需要的。</w:t>
      </w:r>
    </w:p>
    <w:p>
      <w:pPr>
        <w:pStyle w:val="ListParagraph"/>
        <w:numPr>
          <w:ilvl w:val="0"/>
          <w:numId w:val="3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私有来源：企业 ERP、机构采购记录、银行流水</w:t>
      </w:r>
    </w:p>
    <w:p>
      <w:pPr>
        <w:pStyle w:val="ListParagraph"/>
        <w:numPr>
          <w:ilvl w:val="0"/>
          <w:numId w:val="3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最大风险是合规</w:t>
      </w:r>
      <w:r>
        <w:rPr>
          <w:rFonts w:ascii="Times New Roman" w:cs="Times New Roman" w:eastAsia="SimSun" w:hAnsi="Times New Roman"/>
        </w:rPr>
        <w:t xml:space="preserve">：这类数据往往连审稿人都不能看，会直接撞上 §0 的红线。落地前先确认能否向审稿人提供脱敏版本。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C 档：邮件 / 群消息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发件人 → 收件人集，方向语义干净，剂量累积（同一人被多个来源反复触达）的故事也自然。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但通常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τ=1</w:t>
      </w:r>
      <w:r>
        <w:rPr>
          <w:rFonts w:ascii="Times New Roman" w:cs="Times New Roman" w:eastAsia="SimSun" w:hAnsi="Times New Roman"/>
        </w:rPr>
        <w:t xml:space="preserve">，违反硬要求 3，退化为高阶只在头侧的情形。可以用，但会削弱高阶卖点，且隐私敏感度高。若采用，建议只作为</w:t>
      </w:r>
      <w:r>
        <w:rPr>
          <w:rFonts w:ascii="Times New Roman" w:cs="Times New Roman" w:eastAsia="SimSun" w:hAnsi="Times New Roman"/>
          <w:b/>
          <w:bCs/>
        </w:rPr>
        <w:t xml:space="preserve">补充案例</w:t>
      </w:r>
      <w:r>
        <w:rPr>
          <w:rFonts w:ascii="Times New Roman" w:cs="Times New Roman" w:eastAsia="SimSun" w:hAnsi="Times New Roman"/>
        </w:rPr>
        <w:t xml:space="preserve">而非主案例。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D 档：引用 / 合作 / 代码评审　</w:t>
      </w: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不建议作主案例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引用数据虽然能构造成"一组作者 → 一组被引文献"，但</w:t>
      </w:r>
      <w:r>
        <w:rPr>
          <w:rFonts w:ascii="Times New Roman" w:cs="Times New Roman" w:eastAsia="SimSun" w:hAnsi="Times New Roman"/>
          <w:b/>
          <w:bCs/>
        </w:rPr>
        <w:t xml:space="preserve">方向语义是"引用"，不是"影响的传播"</w:t>
      </w:r>
      <w:r>
        <w:rPr>
          <w:rFonts w:ascii="Times New Roman" w:cs="Times New Roman" w:eastAsia="SimSun" w:hAnsi="Times New Roman"/>
        </w:rPr>
        <w:t xml:space="preserve">——被引文献不会因为被引而"被感染"。硬要套 SIR 语义会被审稿人质疑。代码评审（PR 作者 → 评审人集）同样多为 </w:t>
      </w:r>
      <w:r>
        <w:rPr>
          <w:rFonts w:ascii="Cambria Math" w:eastAsia="SimSun" w:hAnsi="Cambria Math"/>
          <w:i w:val="false"/>
          <w:iCs w:val="false"/>
        </w:rPr>
        <w:t xml:space="preserve">τ=1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注意：[lotito2026directed] 用了引用数据，但他们做的是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结构刻画</w:t>
      </w:r>
      <w:r>
        <w:rPr>
          <w:rFonts w:ascii="Times New Roman" w:cs="Times New Roman" w:eastAsia="SimSun" w:hAnsi="Times New Roman"/>
          <w:color w:val="3A4A5A"/>
        </w:rPr>
        <w:t xml:space="preserve">，不涉及动力学语义，所以没有这个问题。我们做传播，就有。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3. 可行性筛选清单（一个下午能做完）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拿到任何候选数据，按顺序跑这五步，任一步失败就换数据：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Cambria Math" w:eastAsia="SimSun" w:hAnsi="Cambria Math"/>
          <w:b/>
          <w:bCs/>
          <w:i/>
          <w:iCs/>
        </w:rPr>
        <w:t xml:space="preserve">T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∩ </w:t>
      </w:r>
      <w:r>
        <w:rPr>
          <w:rFonts w:ascii="Cambria Math" w:eastAsia="SimSun" w:hAnsi="Cambria Math"/>
          <w:b/>
          <w:bCs/>
          <w:i/>
          <w:iCs/>
        </w:rPr>
        <w:t xml:space="preserve">H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=∅</w:t>
      </w:r>
      <w:r>
        <w:rPr>
          <w:rFonts w:ascii="Times New Roman" w:cs="Times New Roman" w:eastAsia="SimSun" w:hAnsi="Times New Roman"/>
          <w:b/>
          <w:bCs/>
        </w:rPr>
        <w:t xml:space="preserve"> 是否成立？</w:t>
      </w:r>
      <w:r>
        <w:rPr>
          <w:rFonts w:ascii="Times New Roman" w:cs="Times New Roman" w:eastAsia="SimSun" w:hAnsi="Times New Roman"/>
        </w:rPr>
        <w:t xml:space="preserve"> 若有节点同时在尾和头（如自催化反应），需要定一条处理规则（拆分或剔除），并记录影响多少条超边。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阶分布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(τ,η)</w:t>
      </w:r>
      <w:r>
        <w:rPr>
          <w:rFonts w:ascii="Times New Roman" w:cs="Times New Roman" w:eastAsia="SimSun" w:hAnsi="Times New Roman"/>
          <w:b/>
          <w:bCs/>
        </w:rPr>
        <w:t xml:space="preserve">。</w:t>
      </w:r>
      <w:r>
        <w:rPr>
          <w:rFonts w:ascii="Times New Roman" w:cs="Times New Roman" w:eastAsia="SimSun" w:hAnsi="Times New Roman"/>
        </w:rPr>
        <w:t xml:space="preserve"> 出二维直方图。</w:t>
      </w:r>
      <w:r>
        <w:rPr>
          <w:rFonts w:ascii="Cambria Math" w:eastAsia="SimSun" w:hAnsi="Cambria Math"/>
          <w:i w:val="false"/>
          <w:iCs w:val="false"/>
        </w:rPr>
        <w:t xml:space="preserve">τ=1</w:t>
      </w:r>
      <w:r>
        <w:rPr>
          <w:rFonts w:ascii="Times New Roman" w:cs="Times New Roman" w:eastAsia="SimSun" w:hAnsi="Times New Roman"/>
        </w:rPr>
        <w:t xml:space="preserve"> 占比过高 → 降级为 C 档用法。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重叠是否非平凡？</w:t>
      </w:r>
      <w:r>
        <w:rPr>
          <w:rFonts w:ascii="Times New Roman" w:cs="Times New Roman" w:eastAsia="SimSun" w:hAnsi="Times New Roman"/>
        </w:rPr>
        <w:t xml:space="preserve"> 统计四通道各自的"发生重叠的超边对数"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与条件均值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。若某通道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接近零，该通道的结论无法支撑。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Cambria Math" w:eastAsia="SimSun" w:hAnsi="Cambria Math"/>
          <w:b/>
          <w:bCs/>
          <w:i/>
          <w:iCs/>
        </w:rPr>
        <w:t xml:space="preserve">r</w:t>
      </w:r>
      <w:r>
        <w:rPr>
          <w:rFonts w:ascii="Cambria Math" w:eastAsia="SimSun" w:hAnsi="Cambria Math"/>
          <w:b/>
          <w:bCs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  <w:b/>
          <w:bCs/>
        </w:rPr>
        <w:t xml:space="preserve"> 与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  <w:b/>
          <w:bCs/>
        </w:rPr>
        <w:t xml:space="preserve"> 是否退化？</w:t>
      </w:r>
      <w:r>
        <w:rPr>
          <w:rFonts w:ascii="Times New Roman" w:cs="Times New Roman" w:eastAsia="SimSun" w:hAnsi="Times New Roman"/>
        </w:rPr>
        <w:t xml:space="preserve"> 两者都接近零 → 结构扫描没有真实锚点，第 VII 部分只能做定性对照。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与均匀零模型的对比是否有信号？</w:t>
      </w:r>
      <w:r>
        <w:rPr>
          <w:rFonts w:ascii="Times New Roman" w:cs="Times New Roman" w:eastAsia="SimSun" w:hAnsi="Times New Roman"/>
        </w:rPr>
        <w:t xml:space="preserve"> 用 [kraakman2026sampling] / [abuissa2026dinghy] 的采样器生成保度零模型，看实测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是否显著偏离。若不偏离，说明这份数据的结构相关性本身就不显著，用它佐证结构效应说服力有限。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4. 强烈建议：混合策略，不要只用私有数据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用一个公开数据集作可复现锚点 + 私有数据作增值案例。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具体：主案例仍取 [lotito2026directed] 的公开三件套之一（代谢网络那个正好与 A 档同域），私有数据作为第二个案例，展示公开数据上没有的结构区间（例如更极端的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）。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三个理由：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消除投稿风险。</w:t>
      </w:r>
      <w:r>
        <w:rPr>
          <w:rFonts w:ascii="Times New Roman" w:cs="Times New Roman" w:eastAsia="SimSun" w:hAnsi="Times New Roman"/>
        </w:rPr>
        <w:t xml:space="preserve"> 数据可得性声明可以写成"主结论所依据的数据已公开可得；补充案例的数据因……受限，可应要求向编辑与审稿人提供"。这个形态两家刊都接受。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结论更可信。</w:t>
      </w:r>
      <w:r>
        <w:rPr>
          <w:rFonts w:ascii="Times New Roman" w:cs="Times New Roman" w:eastAsia="SimSun" w:hAnsi="Times New Roman"/>
        </w:rPr>
        <w:t xml:space="preserve"> 同一套结构—阈值关系在公开数据与私有数据上都成立，比只在一份别人看不到的数据上成立强得多。审稿人无法验证私有数据，但能验证公开的那份。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抗风险。</w:t>
      </w:r>
      <w:r>
        <w:rPr>
          <w:rFonts w:ascii="Times New Roman" w:cs="Times New Roman" w:eastAsia="SimSun" w:hAnsi="Times New Roman"/>
        </w:rPr>
        <w:t xml:space="preserve"> 如果私有数据最后拿不到授权、或合规评审卡住、或筛选清单没过，论文不会因此崩——公开锚点已经把第 VII 部分撑住了。这一点在只剩十周的工期下尤其重要。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5. 数据可得性声明的写法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若采用混合策略，PRE 提交时可按此起草（投稿前须与实际情况核对）：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支撑本文主要结论的有向超图数据集为公开数据，来源见正文与参考文献。第 VII.x 节使用的补充数据集因 \[机构授权 / 商业保密 / 隐私合规\] 不能公开发布；该数据集的脱敏版本可应合理请求向编辑与审稿人提供。用于生成、重连与分析的全部代码已公开于 \[仓库地址\]。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代码一定要公开。</w:t>
      </w:r>
      <w:r>
        <w:rPr>
          <w:rFonts w:ascii="Times New Roman" w:cs="Times New Roman" w:eastAsia="SimSun" w:hAnsi="Times New Roman"/>
        </w:rPr>
        <w:t xml:space="preserve"> 数据受限时，公开代码是挽回可复现性的最有效手段，而本文的生成器与重连工具链本身就是可独立使用的产出——公开它对 C3 的可见度也有好处。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6. 需要你确认的一件事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上面按数据</w:t>
      </w:r>
      <w:r>
        <w:rPr>
          <w:rFonts w:ascii="Times New Roman" w:cs="Times New Roman" w:eastAsia="SimSun" w:hAnsi="Times New Roman"/>
          <w:b/>
          <w:bCs/>
        </w:rPr>
        <w:t xml:space="preserve">类型</w:t>
      </w:r>
      <w:r>
        <w:rPr>
          <w:rFonts w:ascii="Times New Roman" w:cs="Times New Roman" w:eastAsia="SimSun" w:hAnsi="Times New Roman"/>
        </w:rPr>
        <w:t xml:space="preserve">排了序，但没法替你判断哪些是你实际拿得到的。</w:t>
      </w:r>
      <w:r>
        <w:rPr>
          <w:rFonts w:ascii="Times New Roman" w:cs="Times New Roman" w:eastAsia="SimSun" w:hAnsi="Times New Roman"/>
          <w:b/>
          <w:bCs/>
        </w:rPr>
        <w:t xml:space="preserve">告诉我你手上/老师手上是哪个领域的数据，我可以把筛选清单细化成针对该数据的具体检查项</w:t>
      </w:r>
      <w:r>
        <w:rPr>
          <w:rFonts w:ascii="Times New Roman" w:cs="Times New Roman" w:eastAsia="SimSun" w:hAnsi="Times New Roman"/>
        </w:rPr>
        <w:t xml:space="preserve">（例如代谢数据要查哪些字段、currency metabolite 按哪份清单剔除）。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若暂时没有确定的私有数据来源，建议直接按 §4 先用公开三件套推进第 8 周的工作，私有数据作为后续增补——这不影响主线工期。</w:t>
      </w:r>
    </w:p>
    <w:p>
      <w:pPr>
        <w:pBdr>
          <w:bottom w:val="single" w:color="BBBBBB" w:sz="6" w:space="1"/>
        </w:pBdr>
        <w:spacing w:after="200" w:before="200"/>
      </w:pPr>
    </w:p>
    <w:p>
      <w:pPr>
        <w:pStyle w:val="Heading2"/>
        <w:spacing w:after="160" w:before="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参考文献</w:t>
      </w:r>
    </w:p>
    <w:p>
      <w:pPr>
        <w:spacing w:after="120" w:before="120" w:line="320"/>
      </w:pPr>
      <w:r>
        <w:rPr>
          <w:rFonts w:ascii="Times New Roman" w:cs="Times New Roman" w:eastAsia="SimSun" w:hAnsi="Times New Roman"/>
        </w:rPr>
        <w:t xml:space="preserve">按 BibTeX key 字母序排列，正文中的 [key] 与此处一一对应。全部条目已通过 cite-verify 核验。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[abuissa2026dinghy]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Maryam Abuissa, Matteo Riondato, Eli Upfal (2026) DiNgHy: null models for non-degenerate directed hypergraphs. Data Mining and Knowledge Discovery 40.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doi:10.1007/s10618-026-01209-8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[ball2014intersection] </w:t>
      </w:r>
      <w:r>
        <w:rPr>
          <w:rFonts w:ascii="Times New Roman" w:cs="Times New Roman" w:eastAsia="SimSun" w:hAnsi="Times New Roman"/>
          <w:sz w:val="19"/>
          <w:szCs w:val="19"/>
        </w:rPr>
        <w:t xml:space="preserve">Frank G. Ball, David J. Sirl, Pieter Trapman (2014) Epidemics on random intersection graphs. The Annals of Applied Probability 24.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doi:10.1214/13-AAP942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[barbour2013] </w:t>
      </w:r>
      <w:r>
        <w:rPr>
          <w:rFonts w:ascii="Times New Roman" w:cs="Times New Roman" w:eastAsia="SimSun" w:hAnsi="Times New Roman"/>
          <w:sz w:val="19"/>
          <w:szCs w:val="19"/>
        </w:rPr>
        <w:t xml:space="preserve">Andrew Barbour, Gesine Reinert (2013) Approximating the epidemic curve. Electronic Journal of Probability 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doi:10.1214/EJP.v18-2557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[battiston2020]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Battiston, Giulia Cencetti, Iacopo Iacopini, Vito Latora, Maxime Lucas, Alice Patania et al. (2020) Networks beyond pairwise interactions: Structure and dynamics. Physics Reports 874, 1–92.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doi:10.1016/j.physrep.2020.05.004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[battiston2021]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Battiston, Enrico Amico, Alain Barrat, Ginestra Bianconi, Guilherme Ferraz de Arruda, Benedetta Franceschiello et al. (2021) The physics of higher-order interactions in complex systems. Nature Physics 17, 1093–1098.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doi:10.1038/s41567-021-01371-4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[baxter2010bootstrap]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G. J. Baxter, S. N. Dorogovtsev, A. V. Goltsev, J. F. F. Mendes (2010) Bootstrap percolation on complex networks. Physical Review E 82, 011103.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doi:10.1103/PhysRevE.82.011103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[benson2018] </w:t>
      </w:r>
      <w:r>
        <w:rPr>
          <w:rFonts w:ascii="Times New Roman" w:cs="Times New Roman" w:eastAsia="SimSun" w:hAnsi="Times New Roman"/>
          <w:sz w:val="19"/>
          <w:szCs w:val="19"/>
        </w:rPr>
        <w:t xml:space="preserve">Austin R. Benson, Rediet Abebe, Michael T. Schaub, Ali Jadbabaie, Jon Kleinberg (2018) Simplicial closure and higher-order link prediction. Proceedings of the National Academy of Sciences 115, E11221–E11230.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doi:10.1073/pnas.1800683115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[bianconi2024percolation] </w:t>
      </w:r>
      <w:r>
        <w:rPr>
          <w:rFonts w:ascii="Times New Roman" w:cs="Times New Roman" w:eastAsia="SimSun" w:hAnsi="Times New Roman"/>
          <w:sz w:val="19"/>
          <w:szCs w:val="19"/>
        </w:rPr>
        <w:t xml:space="preserve">Ginestra Bianconi, Sergey N. Dorogovtsev (2024) Theory of percolation on hypergraphs. Physical Review E 109, 014306.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doi:10.1103/PhysRevE.109.014306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[boguna2005directed]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Marián Boguñá, M. Ángeles Serrano (2005) Generalized percolation in random directed networks. Physical Review E 72, 016106.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doi:10.1103/PhysRevE.72.016106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[bohman2012] </w:t>
      </w:r>
      <w:r>
        <w:rPr>
          <w:rFonts w:ascii="Times New Roman" w:cs="Times New Roman" w:eastAsia="SimSun" w:hAnsi="Times New Roman"/>
          <w:sz w:val="19"/>
          <w:szCs w:val="19"/>
        </w:rPr>
        <w:t xml:space="preserve">Tom Bohman, Michael Picollelli (2012) SIR epidemics on random graphs with a fixed degree sequence. Random Structures &amp; Algorithms 41.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doi:10.1002/rsa.20401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[bollobas2007inhomogeneous] </w:t>
      </w:r>
      <w:r>
        <w:rPr>
          <w:rFonts w:ascii="Times New Roman" w:cs="Times New Roman" w:eastAsia="SimSun" w:hAnsi="Times New Roman"/>
          <w:sz w:val="19"/>
          <w:szCs w:val="19"/>
        </w:rPr>
        <w:t xml:space="preserve">Béla Bollobás, Svante Janson, Oliver Riordan (2007) The phase transition in inhomogeneous random graphs. Random Structures &amp; Algorithms 31.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doi:10.1002/rsa.20168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[bollobas2016martingales] </w:t>
      </w:r>
      <w:r>
        <w:rPr>
          <w:rFonts w:ascii="Times New Roman" w:cs="Times New Roman" w:eastAsia="SimSun" w:hAnsi="Times New Roman"/>
          <w:sz w:val="19"/>
          <w:szCs w:val="19"/>
        </w:rPr>
        <w:t xml:space="preserve">Béla Bollobás, Oliver Riordan (2016) Exploring hypergraphs with martingales. Random Structures &amp; Algorithms 50.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doi:10.1002/rsa.20678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[cai2021directed]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Xing Shi Cai, Guillem Perarnau (2021) The giant component of the directed configuration model revisited. Latin American Journal of Probability and Mathematical Statistics 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doi:10.30757/ALEA.v18-55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[centola2007] </w:t>
      </w:r>
      <w:r>
        <w:rPr>
          <w:rFonts w:ascii="Times New Roman" w:cs="Times New Roman" w:eastAsia="SimSun" w:hAnsi="Times New Roman"/>
          <w:sz w:val="19"/>
          <w:szCs w:val="19"/>
        </w:rPr>
        <w:t xml:space="preserve">Damon Centola, Michael Macy (2007) Complex contagions and the weakness of long ties. American Journal of Sociology 113, 702–734.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doi:10.1086/521848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[chodrow2020]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Philip S. Chodrow (2020) Configuration models of random hypergraphs. Journal of Complex Networks 8, cnaa018.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doi:10.1093/comnet/cnaa018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[contrerasaso2024beyond] </w:t>
      </w:r>
      <w:r>
        <w:rPr>
          <w:rFonts w:ascii="Times New Roman" w:cs="Times New Roman" w:eastAsia="SimSun" w:hAnsi="Times New Roman"/>
          <w:sz w:val="19"/>
          <w:szCs w:val="19"/>
        </w:rPr>
        <w:t xml:space="preserve">Gonzalo Contreras-Aso, Regino Criado, Miguel Romance (2024) Beyond directed hypergraphs: heterogeneous hypergraphs and spectral centralities. Journal of Complex Networks 12.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doi:10.1093/comnet/cnae037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[cooper2004scc] </w:t>
      </w:r>
      <w:r>
        <w:rPr>
          <w:rFonts w:ascii="Times New Roman" w:cs="Times New Roman" w:eastAsia="SimSun" w:hAnsi="Times New Roman"/>
          <w:sz w:val="19"/>
          <w:szCs w:val="19"/>
        </w:rPr>
        <w:t xml:space="preserve">Colin Cooper, Alan Frieze (2004) The Size of the Largest Strongly Connected Component of a Random Digraph with a Given Degree Sequence. Combinatorics, Probability and Computing 13.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doi:10.1017/S096354830400611X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[dearruda2020]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Guilherme Ferraz de Arruda, Giovanni Petri, Yamir Moreno (2020) Social contagion models on hypergraphs. Physical Review Research 2, 023032.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doi:10.1103/PhysRevResearch.2.023032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[dearruda2024review]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Guilherme Ferraz de Arruda, Alberto Aleta, Yamir Moreno (2024) Contagion dynamics on higher-order networks. Nature Reviews Physics 6, 468–482.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doi:10.1038/s42254-024-00733-0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[decreusefond2012] </w:t>
      </w:r>
      <w:r>
        <w:rPr>
          <w:rFonts w:ascii="Times New Roman" w:cs="Times New Roman" w:eastAsia="SimSun" w:hAnsi="Times New Roman"/>
          <w:sz w:val="19"/>
          <w:szCs w:val="19"/>
        </w:rPr>
        <w:t xml:space="preserve">Laurent Decreusefond, Jean-Stéphane Dhersin, Pascal Moyal, Viet Chi Tran (2012) Large graph limit for an SIR process in random network with heterogeneous connectivity. The Annals of Applied Probability 22.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doi:10.1214/11-AAP773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[dorogovtsev2001giant] </w:t>
      </w:r>
      <w:r>
        <w:rPr>
          <w:rFonts w:ascii="Times New Roman" w:cs="Times New Roman" w:eastAsia="SimSun" w:hAnsi="Times New Roman"/>
          <w:sz w:val="19"/>
          <w:szCs w:val="19"/>
        </w:rPr>
        <w:t xml:space="preserve">S. N. Dorogovtsev, J. F. F. Mendes, A. N. Samukhin (2001) Giant strongly connected component of directed networks. Physical Review E 64, 025101.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doi:10.1103/PhysRevE.64.025101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[dorogovtsev2006kcore] </w:t>
      </w:r>
      <w:r>
        <w:rPr>
          <w:rFonts w:ascii="Times New Roman" w:cs="Times New Roman" w:eastAsia="SimSun" w:hAnsi="Times New Roman"/>
          <w:sz w:val="19"/>
          <w:szCs w:val="19"/>
        </w:rPr>
        <w:t xml:space="preserve">S. N. Dorogovtsev, A. V. Goltsev, J. F. F. Mendes (2006) k-core organization of complex networks. Physical Review Letters 96, 040601.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doi:10.1103/PhysRevLett.96.040601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[gallo1993] </w:t>
      </w:r>
      <w:r>
        <w:rPr>
          <w:rFonts w:ascii="Times New Roman" w:cs="Times New Roman" w:eastAsia="SimSun" w:hAnsi="Times New Roman"/>
          <w:sz w:val="19"/>
          <w:szCs w:val="19"/>
        </w:rPr>
        <w:t xml:space="preserve">Giorgio Gallo, Giustino Longo, Stefano Pallottino, Sang Nguyen (1993) Directed hypergraphs and applications. Discrete Applied Mathematics 42, 177–201.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doi:10.1016/0166-218X(93)90045-P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[gallo2024memory] </w:t>
      </w:r>
      <w:r>
        <w:rPr>
          <w:rFonts w:ascii="Times New Roman" w:cs="Times New Roman" w:eastAsia="SimSun" w:hAnsi="Times New Roman"/>
          <w:sz w:val="19"/>
          <w:szCs w:val="19"/>
        </w:rPr>
        <w:t xml:space="preserve">Luca Gallo, Lucas Lacasa, Vito Latora, Federico Battiston (2024) Higher-order correlations reveal complex memory in temporal hypergraphs. Nature Communications 15.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doi:10.1038/s41467-024-48578-6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[gillespie1977] </w:t>
      </w:r>
      <w:r>
        <w:rPr>
          <w:rFonts w:ascii="Times New Roman" w:cs="Times New Roman" w:eastAsia="SimSun" w:hAnsi="Times New Roman"/>
          <w:sz w:val="19"/>
          <w:szCs w:val="19"/>
        </w:rPr>
        <w:t xml:space="preserve">Daniel T. Gillespie (1977) Exact stochastic simulation of coupled chemical reactions. The Journal of Physical Chemistry 81, 2340–2361.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doi:10.1021/j100540a008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[grassberger1983] </w:t>
      </w:r>
      <w:r>
        <w:rPr>
          <w:rFonts w:ascii="Times New Roman" w:cs="Times New Roman" w:eastAsia="SimSun" w:hAnsi="Times New Roman"/>
          <w:sz w:val="19"/>
          <w:szCs w:val="19"/>
        </w:rPr>
        <w:t xml:space="preserve">Peter Grassberger (1983) On the critical behavior of the general epidemic process and dynamical percolation. Mathematical Biosciences 63, 157–172.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doi:10.1016/0025-5564(82)90036-0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[iacopini2019] </w:t>
      </w:r>
      <w:r>
        <w:rPr>
          <w:rFonts w:ascii="Times New Roman" w:cs="Times New Roman" w:eastAsia="SimSun" w:hAnsi="Times New Roman"/>
          <w:sz w:val="19"/>
          <w:szCs w:val="19"/>
        </w:rPr>
        <w:t xml:space="preserve">Iacopo Iacopini, Giovanni Petri, Alain Barrat, Vito Latora (2019) Simplicial models of social contagion. Nature Communications 10, 2485.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doi:10.1038/s41467-019-10431-6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[janson2014lln] </w:t>
      </w:r>
      <w:r>
        <w:rPr>
          <w:rFonts w:ascii="Times New Roman" w:cs="Times New Roman" w:eastAsia="SimSun" w:hAnsi="Times New Roman"/>
          <w:sz w:val="19"/>
          <w:szCs w:val="19"/>
        </w:rPr>
        <w:t xml:space="preserve">Svante Janson, Malwina Luczak, Peter Windridge (2014) Law of large numbers for the SIR epidemic on a random graph with given degrees. Random Structures &amp; Algorithms 45.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doi:10.1002/rsa.20575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[janson2016nearcritical] </w:t>
      </w:r>
      <w:r>
        <w:rPr>
          <w:rFonts w:ascii="Times New Roman" w:cs="Times New Roman" w:eastAsia="SimSun" w:hAnsi="Times New Roman"/>
          <w:sz w:val="19"/>
          <w:szCs w:val="19"/>
        </w:rPr>
        <w:t xml:space="preserve">Svante Janson, Malwina Luczak, Peter Windridge, Thomas House (2016) Near-critical SIR epidemic on a random graph with given degrees. Journal of Mathematical Biology 74.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doi:10.1007/s00285-016-1043-z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[kenah2007] </w:t>
      </w:r>
      <w:r>
        <w:rPr>
          <w:rFonts w:ascii="Times New Roman" w:cs="Times New Roman" w:eastAsia="SimSun" w:hAnsi="Times New Roman"/>
          <w:sz w:val="19"/>
          <w:szCs w:val="19"/>
        </w:rPr>
        <w:t xml:space="preserve">Eben Kenah, James M. Robins (2007) Second look at the spread of epidemics on networks. Physical Review E 76, 036113.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doi:10.1103/PhysRevE.76.036113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[kim2023reciprocity] </w:t>
      </w:r>
      <w:r>
        <w:rPr>
          <w:rFonts w:ascii="Times New Roman" w:cs="Times New Roman" w:eastAsia="SimSun" w:hAnsi="Times New Roman"/>
          <w:sz w:val="19"/>
          <w:szCs w:val="19"/>
        </w:rPr>
        <w:t xml:space="preserve">Sunwoo Kim, Minyoung Choe, Jaemin Yoo, Kijung Shin (2023) Reciprocity in directed hypergraphs: measures, findings, and generators. Data Mining and Knowledge Discovery.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doi:10.1007/s10618-023-00955-3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[kim2024components] </w:t>
      </w:r>
      <w:r>
        <w:rPr>
          <w:rFonts w:ascii="Times New Roman" w:cs="Times New Roman" w:eastAsia="SimSun" w:hAnsi="Times New Roman"/>
          <w:sz w:val="19"/>
          <w:szCs w:val="19"/>
        </w:rPr>
        <w:t xml:space="preserve">Jung-Ho Kim, K.-I. Goh (2024) Higher-Order Components Dictate Higher-Order Contagion Dynamics in Hypergraphs. Physical Review Letters 132, 087401.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doi:10.1103/PhysRevLett.132.087401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[klamt2009] </w:t>
      </w:r>
      <w:r>
        <w:rPr>
          <w:rFonts w:ascii="Times New Roman" w:cs="Times New Roman" w:eastAsia="SimSun" w:hAnsi="Times New Roman"/>
          <w:sz w:val="19"/>
          <w:szCs w:val="19"/>
        </w:rPr>
        <w:t xml:space="preserve">Steffen Klamt, Utz-Uwe Haus, Fabian Theis (2009) Hypergraphs and cellular networks. PLoS Computational Biology 5, e1000385.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doi:10.1371/journal.pcbi.1000385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[kraakman2026sampling] </w:t>
      </w:r>
      <w:r>
        <w:rPr>
          <w:rFonts w:ascii="Times New Roman" w:cs="Times New Roman" w:eastAsia="SimSun" w:hAnsi="Times New Roman"/>
          <w:sz w:val="19"/>
          <w:szCs w:val="19"/>
        </w:rPr>
        <w:t xml:space="preserve">Yanna J. Kraakman, Clara Stegehuis (2026) Uniformly sampling random directed hypergraphs with fixed degrees. Discrete Mathematics 349, 114961.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doi:10.1016/j.disc.2025.114961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[lamataotin2025matrix] </w:t>
      </w:r>
      <w:r>
        <w:rPr>
          <w:rFonts w:ascii="Times New Roman" w:cs="Times New Roman" w:eastAsia="SimSun" w:hAnsi="Times New Roman"/>
          <w:sz w:val="19"/>
          <w:szCs w:val="19"/>
        </w:rPr>
        <w:t xml:space="preserve">Santiago Lamata-Otín, Federico Malizia, Vito Latora, Mattia Frasca, Jesús Gómez-Gardeñes (2025) Hyperedge overlap drives synchronizability of systems with higher-order interactions. Physical Review E 111, 034302.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doi:10.1103/PhysRevE.111.034302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[landry2020]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Nicholas W. Landry, Juan G. Restrepo (2020) The effect of heterogeneity on hypergraph contagion models. Chaos 30, 103117.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doi:10.1063/5.0020034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[lee2021overlap]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Geon Lee, Minyoung Choe, Kijung Shin (2021) How Do Hyperedges Overlap in Real-World Hypergraphs? - Patterns, Measures, and Generators. Proceedings of the Web Conference 2021.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doi:10.1145/3442381.3450010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[li2024directed]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Juyi Li, Xiaoqun Wu, Jinhu Lü, Ling Lei (2024) Enhancing predictive accuracy in social contagion dynamics via directed hypergraph structures. Communications Physics 7.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doi:10.1038/s42005-024-01614-9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[lotito2026directed]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Quintino Francesco Lotito, Alberto Vendramini, Alberto Montresor, Federico Battiston (2026) The microscale organization of directed hypergraphs. Communications Physics 9.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doi:10.1038/s42005-025-02472-9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[malizia2025gbcm]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Malizia, Andrés Guzmán, Iacopo Iacopini, István Z. Kiss (2025) Disentangling the Role of Heterogeneity and Hyperedge Overlap in Explosive Contagion on Higher-Order Networks. Physical Review Letters.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doi:10.1103/z3d5-94zb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[malizia2025overlap]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Malizia, Santiago Lamata-Otín, Mattia Frasca, Vito Latora, Jesús Gómez-Gardeñes (2025) Hyperedge overlap drives explosive transitions in systems with higher-order interactions. Nature Communications 16.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doi:10.1038/s41467-024-55506-1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[mancastroppa2023]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Marco Mancastroppa, Iacopo Iacopini, Giovanni Petri, Alain Barrat (2023) Hyper-cores promote localization and efficient seeding in higher-order processes. Nature Communications 14, 6223.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doi:10.1038/s41467-023-41887-2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[meyers2006directed]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Lauren Ancel Meyers, M. E. J. Newman, Babak Pourbohloul (2006) Predicting epidemics on directed contact networks. Journal of Theoretical Biology 240, 400–418.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doi:10.1016/j.jtbi.2005.10.004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[miller2012ebcm] </w:t>
      </w:r>
      <w:r>
        <w:rPr>
          <w:rFonts w:ascii="Times New Roman" w:cs="Times New Roman" w:eastAsia="SimSun" w:hAnsi="Times New Roman"/>
          <w:sz w:val="19"/>
          <w:szCs w:val="19"/>
        </w:rPr>
        <w:t xml:space="preserve">Joel C. Miller, Anja C. Slim, Erik M. Volz (2012) Edge-based compartmental modelling for infectious disease spread. Journal of the Royal Society Interface 9, 890–906.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doi:10.1098/rsif.2011.0403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[morrison2021bootstrap]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Natasha Morrison, Jonathan A. Noel (2021) A sharp threshold for bootstrap percolation in a random hypergraph. Electronic Journal of Probability 26.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doi:10.1214/21-EJP650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[nakajima2022randomizing] </w:t>
      </w:r>
      <w:r>
        <w:rPr>
          <w:rFonts w:ascii="Times New Roman" w:cs="Times New Roman" w:eastAsia="SimSun" w:hAnsi="Times New Roman"/>
          <w:sz w:val="19"/>
          <w:szCs w:val="19"/>
        </w:rPr>
        <w:t xml:space="preserve">Kazuki Nakajima, Kazuyuki Shudo, Naoki Masuda (2022) Randomizing Hypergraphs Preserving Degree Correlation and Local Clustering. IEEE Transactions on Network Science and Engineering 9, 1139–1153.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doi:10.1109/TNSE.2021.3133380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[newman2001random]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Newman, S. H. Strogatz, D. J. Watts (2001) Random graphs with arbitrary degree distributions and their applications. Physical Review E 64, 026118.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doi:10.1103/PhysRevE.64.026118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[newman2002assortative]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 (2002) Assortative mixing in networks. Physical Review Letters 89, 208701.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doi:10.1103/PhysRevLett.89.208701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[newman2002spread]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 (2002) Spread of epidemic disease on networks. Physical Review E 66, 016128.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doi:10.1103/PhysRevE.66.016128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[pastorsatorras2001] </w:t>
      </w:r>
      <w:r>
        <w:rPr>
          <w:rFonts w:ascii="Times New Roman" w:cs="Times New Roman" w:eastAsia="SimSun" w:hAnsi="Times New Roman"/>
          <w:sz w:val="19"/>
          <w:szCs w:val="19"/>
        </w:rPr>
        <w:t xml:space="preserve">Romualdo Pastor-Satorras, Alessandro Vespignani (2001) Epidemic spreading in scale-free networks. Physical Review Letters 86, 3200–3203.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doi:10.1103/PhysRevLett.86.3200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[pastorsatorras2015] </w:t>
      </w:r>
      <w:r>
        <w:rPr>
          <w:rFonts w:ascii="Times New Roman" w:cs="Times New Roman" w:eastAsia="SimSun" w:hAnsi="Times New Roman"/>
          <w:sz w:val="19"/>
          <w:szCs w:val="19"/>
        </w:rPr>
        <w:t xml:space="preserve">Romualdo Pastor-Satorras, Claudio Castellano, Piet Van Mieghem, Alessandro Vespignani (2015) Epidemic processes in complex networks. Reviews of Modern Physics 87, 925–979.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doi:10.1103/RevModPhys.87.925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[stonge2021prl]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Guillaume St-Onge, Hanlin Sun, Antoine Allard, Laurent Hébert-Dufresne, Ginestra Bianconi (2021) Universal nonlinear infection kernel from heterogeneous exposure on higher-order networks. Physical Review Letters 127, 158301.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doi:10.1103/PhysRevLett.127.158301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[stonge2022]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Guillaume St-Onge, Iacopo Iacopini, Vito Latora, Alain Barrat, Giovanni Petri, Antoine Allard et al. (2022) Influential groups for seeding and sustaining nonlinear contagion in heterogeneous hypergraphs. Communications Physics 5, 25.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doi:10.1038/s42005-021-00788-w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[sun2021multiplex] </w:t>
      </w:r>
      <w:r>
        <w:rPr>
          <w:rFonts w:ascii="Times New Roman" w:cs="Times New Roman" w:eastAsia="SimSun" w:hAnsi="Times New Roman"/>
          <w:sz w:val="19"/>
          <w:szCs w:val="19"/>
        </w:rPr>
        <w:t xml:space="preserve">Hanlin Sun, Ginestra Bianconi (2021) Higher-order percolation processes on multiplex hypergraphs. Physical Review E 104, 034306.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doi:10.1103/PhysRevE.104.034306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[sun2023triadic] </w:t>
      </w:r>
      <w:r>
        <w:rPr>
          <w:rFonts w:ascii="Times New Roman" w:cs="Times New Roman" w:eastAsia="SimSun" w:hAnsi="Times New Roman"/>
          <w:sz w:val="19"/>
          <w:szCs w:val="19"/>
        </w:rPr>
        <w:t xml:space="preserve">Hanlin Sun, Filippo Radicchi, Jürgen Kurths, Ginestra Bianconi (2023) The dynamic nature of percolation on networks with triadic interactions. Nature Communications 14, 1308.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doi:10.1038/s41467-023-37019-5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[vanmieghem2013] </w:t>
      </w:r>
      <w:r>
        <w:rPr>
          <w:rFonts w:ascii="Times New Roman" w:cs="Times New Roman" w:eastAsia="SimSun" w:hAnsi="Times New Roman"/>
          <w:sz w:val="19"/>
          <w:szCs w:val="19"/>
        </w:rPr>
        <w:t xml:space="preserve">P. Van Mieghem, R. van de Bovenkamp (2013) Non-Markovian infection spread dramatically alters the susceptible-infected-susceptible epidemic threshold in networks. Physical Review Letters 110, 108701.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doi:10.1103/PhysRevLett.110.108701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[volz2008] </w:t>
      </w:r>
      <w:r>
        <w:rPr>
          <w:rFonts w:ascii="Times New Roman" w:cs="Times New Roman" w:eastAsia="SimSun" w:hAnsi="Times New Roman"/>
          <w:sz w:val="19"/>
          <w:szCs w:val="19"/>
        </w:rPr>
        <w:t xml:space="preserve">Erik Volz (2008) SIR dynamics in random networks with heterogeneous connectivity. Journal of Mathematical Biology 56, 293–310.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doi:10.1007/s00285-007-0116-4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[watts2002] </w:t>
      </w:r>
      <w:r>
        <w:rPr>
          <w:rFonts w:ascii="Times New Roman" w:cs="Times New Roman" w:eastAsia="SimSun" w:hAnsi="Times New Roman"/>
          <w:sz w:val="19"/>
          <w:szCs w:val="19"/>
        </w:rPr>
        <w:t xml:space="preserve">Duncan J. Watts (2002) A simple model of global cascades on random networks. Proceedings of the National Academy of Sciences 99, 5766–5771.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doi:10.1073/pnas.082090499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[xu2018directionality] </w:t>
      </w:r>
      <w:r>
        <w:rPr>
          <w:rFonts w:ascii="Times New Roman" w:cs="Times New Roman" w:eastAsia="SimSun" w:hAnsi="Times New Roman"/>
          <w:sz w:val="19"/>
          <w:szCs w:val="19"/>
        </w:rPr>
        <w:t xml:space="preserve">Xin-Jian Xu, Jia-Yan Li, Xinchu Fu, Li-Jie Zhang (2018) Impact of directionality and correlation on contagion. Scientific Reports 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doi:10.1038/s41598-018-22508-1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2026-08-08T14:10:23.566Z</dcterms:created>
  <dcterms:modified xsi:type="dcterms:W3CDTF">2026-08-08T14:10:23.566Z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