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[1, 2]。移到有向超图上有两重并发需要处理：一个头节点同时暴露于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[2]——依次为伙伴处于易感、已感染但尚未传递、已康复且未曾传递的概率——唯一的实质替换是把余度生成函数换成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。需注意记号差异：本文的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对应该文中三者之和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，(29)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(30)。手写的这六个方程与按 (29)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成立。(34)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；从头侧计数，新感染节点的出度按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[3, 4]。文献以临界传播率给出该结果，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）。II.C 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在双度序列固定时仍可自由调节，因而</w:t>
      </w:r>
      <w:r>
        <w:rPr>
          <w:rFonts w:ascii="Times New Roman" w:cs="Times New Roman" w:eastAsia="SimSun" w:hAnsi="Times New Roman"/>
          <w:b/>
          <w:bCs/>
        </w:rPr>
        <w:t xml:space="preserve">在树状闭合内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λ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  <w:b/>
          <w:bCs/>
        </w:rPr>
        <w:t xml:space="preserve"> 与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的作用只体现在阈值以外的量上。无论哪一种结果，都是有内容的。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[1, 2]，本文把它推广到有向超图并给出闭式。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需要说明，(41) 是我们为本模型构造的均场对照，而非 [5]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[6]，取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；(40) 与 (37)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(37)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(41)。(a)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(40)。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）。偏差始终为正，且在阈值邻域出现尖峰。这一高估是有限尺寸效应而非闭合误差，已直接验证：在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消失的平台形成对照。即便如此，生产运行仍须在阈值邻域做有限尺寸标度外推，不能直接引用有限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(40) 逐点吻合。需要说明，图 2(c) 的纵轴由 (37)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(40)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(44)。均场阈值 (42)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2026-08-09T14:16:25.441Z</dcterms:created>
  <dcterms:modified xsi:type="dcterms:W3CDTF">2026-08-09T14:16:25.441Z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