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[3]。但群体交互往往是有向的：施加影响的一方与接受影响的一方并不对称。代谢反应把一组底物转化为一组产物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[13]。方向性作为成对网络的属性也已处理成熟：有向随机图各巨分支的规模由入出度联合分布决定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的作用方向依传播机制而异，须分别对待：有向网络的阈值型级联中，正的入出度相关在较宽的平均入度范围内提高系统稳健性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的函数，与超边如何连接无关。因此它由系综的输入决定，一经给定即不再随超边的重排而改变：调节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为共发，共享节点在两条超边中同为尾成员，同一感染源向两个不同头集扇出；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为共收，共享节点同为头成员，两条超边的感染率按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为串联，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其余两式同理。右端只依赖度序列，因此在保度约束下四个通道的重叠总量是常数；同质阶数下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的逆否形式给出方向对称性破缺的必要条件：系综层面的破缺要求生成系综本身破坏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的转置同分布。则对任意有向超图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，可达对的总数因而逐实现不变；除以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严格成立，计数恒等式因而逐实现精确。但本文主线的超边级阈值核不满足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对本文主线只是近似结论，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是一个极差的破缺序参量。同一批构型上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残余大二十余倍。破缺出现在可达对如何分布，而非其总数。按 [40]，大爆发的概率由巨入分支的相对规模决定，而爆发的终态规模由巨出分支决定；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可为任意值），因此沿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扫描的整条线上都不应出现破缺，尽管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-奇是必要条件，却远非充分条件。宇称分类指出哪些量可能驱动破缺，不指出哪一个实际驱动——后者是动力学问题，分类本身无从回答。第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链，其半群为次随机的，而 (22)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的系数。需要提醒的是这一方向并非普适于一切传播机制：有向网络的阈值型级联中，正的入出度相关反而提高系统稳健性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2026-08-10T08:23:59.234Z</dcterms:created>
  <dcterms:modified xsi:type="dcterms:W3CDTF">2026-08-10T08:23:59.234Z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