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III.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[1, 2]。移到有向超图上有两重并发需要处理：一个头节点同时暴露于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固定一个检验节点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II.B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的激活时长，也就是其各尾成员感染期之并的测度。并的测度不等于各成员贡献之和，因而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II.D 中破坏命题 2 假设 (ii) 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还需注意一处度偏置。沿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的入超边，因而不出现无向 EBCM 中的余度相减——偏置变量与计数变量是两个不同的量。据此定义尾侧生成函数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(25)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II.A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(24) 与 (25)，一个尾成员到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把概率移出"未传递"类。等价地，在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之外添一个"已传递"的吸收态，则整体是一条标准的连续时间 Markov 链，而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是其未被吸收部分的子概率，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</w:rPr>
        <w:t xml:space="preserve">=Φ≤1</w:t>
      </w:r>
      <w:r>
        <w:rPr>
          <w:rFonts w:ascii="Times New Roman" w:cs="Times New Roman" w:eastAsia="SimSun" w:hAnsi="Times New Roman"/>
        </w:rPr>
        <w:t xml:space="preserve">；概率论中这称为以速率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消灭（killing）的 Markov 链，其半群为次随机的，而 (22) 正是它的 Feynman–Kac 表示。据此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(29)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(29)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(24)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(24) 与 (29)–(30)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此时只有三个变量，(29)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的三元组 </w:t>
      </w:r>
      <w:r>
        <w:rPr>
          <w:rFonts w:ascii="Cambria Math" w:eastAsia="SimSun" w:hAnsi="Cambria Math"/>
          <w:i w:val="false"/>
          <w:iCs w:val="false"/>
        </w:rPr>
        <w:t xml:space="preserve">(Φ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[2]——依次为伙伴处于易感、已感染但尚未传递、已康复且未曾传递的概率——唯一的实质替换是把余度生成函数换成 (25)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。需注意记号差异：本文的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对应该文中三者之和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，而本文的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对应其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分量。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，(29)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(30)。手写的这六个方程与按 (29)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成立。(34) 不是额外假设，而是 (29)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(29)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求解到什么程度。</w:t>
      </w:r>
      <w:r>
        <w:rPr>
          <w:rFonts w:ascii="Times New Roman" w:cs="Times New Roman" w:eastAsia="SimSun" w:hAnsi="Times New Roman"/>
        </w:rPr>
        <w:t xml:space="preserve"> 有必要把"求解"的含义说清楚。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时，(24) 与 (29)–(30) 构成一个封闭的低维系统，其积分给出完整的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与终态规模，精度由 III.E 逐项校验；爆发阈值 (37) 是闭式，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时终态亦有闭式 (44)。但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时终态没有闭式，原因是结构性的而非技术性的：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∞</w:t>
      </w:r>
      <w:r>
        <w:rPr>
          <w:rFonts w:ascii="Times New Roman" w:cs="Times New Roman" w:eastAsia="SimSun" w:hAnsi="Times New Roman"/>
        </w:rPr>
        <w:t xml:space="preserve"> 取决于各尾成员感染期之并的长度；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时这个并只有一段，其长度服从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且与起始时刻无关，故可只用终态量闭合，而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时并的长度依赖于各感染时刻的相对先后，终态量不足以确定它。这与 (23) 是同一个障碍。取线性核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时传播事件逐（尾成员，头成员）对独立，闭式重新出现。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的爆发条件不属本节范围。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(29) 中只有消灭项的指示函数依赖于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时单个感染尾成员不足以激活超边，(29) 在无病定态附近的线性化没有增长模式，这与 II.B 所述 bootstrap 图像一致，须按第 IV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。一阶量是恰有一个尾成员曾被感染的两个态，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；判据是曾被感染的成员数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的态为二阶——注意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τ-2,1,1</w:t>
      </w:r>
      <w:r>
        <w:rPr>
          <w:rFonts w:ascii="Times New Roman" w:cs="Times New Roman" w:eastAsia="SimSun" w:hAnsi="Times New Roman"/>
        </w:rPr>
        <w:t xml:space="preserve"> 虽然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也在其中。由两个种子规模积分读出各态随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的幂次，测得阶数逐态等于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，见 </w:t>
      </w:r>
      <w:r>
        <w:rPr>
          <w:rFonts w:ascii="Consolas" w:eastAsia="SimSun" w:hAnsi="Consolas"/>
        </w:rPr>
        <w:t xml:space="preserve">tools/check_order_counting.py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的一阶部分因而只有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。由 (28)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(29)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；从头侧计数，新感染节点沿入边到达、其出度因而按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——成对情形下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正是有向图中"后继节点的平均出度"，亦即其再生数 [3]。由握手关系 (3)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[3, 4, 5]。[4] 的半有向阈值条件在纯有向极限下化为临界传播率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，[3] 亦以再生数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给出同一结果；由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=λ/(1+λ)</w:t>
      </w:r>
      <w:r>
        <w:rPr>
          <w:rFonts w:ascii="Times New Roman" w:cs="Times New Roman" w:eastAsia="SimSun" w:hAnsi="Times New Roman"/>
        </w:rPr>
        <w:t xml:space="preserve"> 代入 (37) 得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时握手关系 (3) 给出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，两式因而恒等。需要强调，令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并不回到无向网络的结果：无向情形的余度相减源于"来路那条边不可再用"，而有向情形下来路超边根本不在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(40)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的严格减函数：正的入出度相关促进传播。这一方向与成对有向图上的 SIR 一致——那里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同样经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依赖于入出度的协方差 [3]；(40) 把该依赖推广到有向超图，并显式给出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的系数。需要提醒的是这一方向并非普适于一切传播机制：有向网络的阈值型级联中，正的入出度相关反而提高系统稳健性 [6]。二者并不冲突——阈值模型按活跃邻居的比例判定激活，高入度抬高激活门槛；SIR 中高入度只增加暴露，故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同时偏大的节点在 SIR 中放大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，在阈值级联中却既难被激活又本可广播。这是第 VI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）。更强地说，(24) 与 (25) 也只读取双度序列，故整个闭合而不止阈值都看不见重叠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。由 II.C 的求和规则，双度序列锁死的只是四个通道的重叠总量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，并不锁死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本身，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因而在固定度序列下仍是可动的自由度。这不是疏漏而是可检验的预言：重叠恰好度量超边之间共享节点的程度，也就是 (H1) 所排除的短回路。第 VI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的作用只体现在阈值以外的量上。但须说明，可动不等于易动：单纯的保度双边交换只能把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挪动 </w:t>
      </w:r>
      <w:r>
        <w:rPr>
          <w:rFonts w:ascii="Cambria Math" w:eastAsia="SimSun" w:hAnsi="Cambria Math"/>
          <w:i w:val="false"/>
          <w:iCs w:val="false"/>
        </w:rPr>
        <w:t xml:space="preserve">0.005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 w:val="false"/>
          <w:iCs w:val="false"/>
        </w:rPr>
        <w:t xml:space="preserve">0.006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=150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=500</w:t>
      </w:r>
      <w:r>
        <w:rPr>
          <w:rFonts w:ascii="Times New Roman" w:cs="Times New Roman" w:eastAsia="SimSun" w:hAnsi="Times New Roman"/>
        </w:rPr>
        <w:t xml:space="preserve"> 两处测量），在如此窄的区间上仿真的变化不可分辨，因而检验这一预言必须先有第 V 节的定向重连工具把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推到有意义的范围。极性失衡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是例外，它可被驱动到 </w:t>
      </w:r>
      <w:r>
        <w:rPr>
          <w:rFonts w:ascii="Cambria Math" w:eastAsia="SimSun" w:hAnsi="Cambria Math"/>
          <w:i w:val="false"/>
          <w:iCs w:val="false"/>
        </w:rPr>
        <w:t xml:space="preserve">0.108</w:t>
      </w:r>
      <w:r>
        <w:rPr>
          <w:rFonts w:ascii="Times New Roman" w:cs="Times New Roman" w:eastAsia="SimSun" w:hAnsi="Times New Roman"/>
        </w:rPr>
        <w:t xml:space="preserve">，故第 VI 节对它的上界测量不受此限。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(41)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(42)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(43)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时发散：均场的误差在阈值邻域最大，而这正是最需要理论的区域。这与成对网络上 EBCM 相对均场的增益同源 [1, 2]，本文把它推广到有向超图并给出闭式。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需要说明，(41) 是我们为本模型构造的均场对照，而非 [7] 中模型的复述——后者是社会传播而非 SIR，其方向性由单一标量强度参数调节。此处比较的是闭合层级，不是两项工作的模型。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E.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II.B 所定义连续时间 Markov 过程的精确 Gillespie 抽样 [8]，取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；(40) 与 (37)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(37) 与方程组自身的失稳点独立比对：对 (29)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184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(29)，橙点线为均场闭合 (41)。(a)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01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(40)。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(43)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I 节所称"边基闭合相对均场的增益"由此定量化：增益不是均匀的百分数，而集中在最需要理论的区域。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自身的限度，须如实报告。偏差在深超临界区最小（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）。偏差在亚临界区与阈值邻域一律为正，并在阈值邻域出现尖峰，深超临界区则收敛到零。这一高估是有限尺寸效应而非闭合误差，已直接验证：在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处固定 </w:t>
      </w:r>
      <w:r>
        <w:rPr>
          <w:rFonts w:ascii="Cambria Math" w:eastAsia="SimSun" w:hAnsi="Cambria Math"/>
          <w:i w:val="false"/>
          <w:iCs w:val="false"/>
        </w:rPr>
        <w:t xml:space="preserve">ε=0.005</w:t>
      </w:r>
      <w:r>
        <w:rPr>
          <w:rFonts w:ascii="Times New Roman" w:cs="Times New Roman" w:eastAsia="SimSun" w:hAnsi="Times New Roman"/>
        </w:rPr>
        <w:t xml:space="preserve">、每点取 </w:t>
      </w:r>
      <w:r>
        <w:rPr>
          <w:rFonts w:ascii="Cambria Math" w:eastAsia="SimSun" w:hAnsi="Cambria Math"/>
          <w:i w:val="false"/>
          <w:iCs w:val="false"/>
        </w:rPr>
        <w:t xml:space="preserve">3</w:t>
      </w:r>
      <w:r>
        <w:rPr>
          <w:rFonts w:ascii="Times New Roman" w:cs="Times New Roman" w:eastAsia="SimSun" w:hAnsi="Times New Roman"/>
        </w:rPr>
        <w:t xml:space="preserve"> 个独立结构逐一增大系统，高估由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+54%</w:t>
      </w:r>
      <w:r>
        <w:rPr>
          <w:rFonts w:ascii="Times New Roman" w:cs="Times New Roman" w:eastAsia="SimSun" w:hAnsi="Times New Roman"/>
        </w:rPr>
        <w:t xml:space="preserve"> 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=16000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+4.4%</w:t>
      </w:r>
      <w:r>
        <w:rPr>
          <w:rFonts w:ascii="Times New Roman" w:cs="Times New Roman" w:eastAsia="SimSun" w:hAnsi="Times New Roman"/>
        </w:rPr>
        <w:t xml:space="preserve">——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 倍，高估缩小约 </w:t>
      </w:r>
      <w:r>
        <w:rPr>
          <w:rFonts w:ascii="Cambria Math" w:eastAsia="SimSun" w:hAnsi="Cambria Math"/>
          <w:i w:val="false"/>
          <w:iCs w:val="false"/>
        </w:rPr>
        <w:t xml:space="preserve">12</w:t>
      </w:r>
      <w:r>
        <w:rPr>
          <w:rFonts w:ascii="Times New Roman" w:cs="Times New Roman" w:eastAsia="SimSun" w:hAnsi="Times New Roman"/>
        </w:rPr>
        <w:t xml:space="preserve"> 倍。这与 (24)–(29)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理论一致（阈值邻域关联长度发散，有限系统的偏离在此最大），也与均场那个不随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消失的平台形成对照。即便如此，生产运行仍须在阈值邻域做有限尺寸标度外推，不能直接引用有限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 EBCM 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(40) 逐点吻合。需要说明，图 2(c) 的纵轴由 (37)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(40)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VI 节。同时须记住 II.D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(44)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(44)。均场阈值 (42)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另有四项针对数值实现而非理论的核查，结果一并记录：位形模型的修复步在全部五种配置下未丢弃任何超边，实现的双度序列与请求值逐点相同；RK4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Allard, C. Moore, S. V. Scarpino, B. M. Althouse, L. Hébert-Dufresne, </w:t>
      </w:r>
      <w:r>
        <w:rPr>
          <w:rFonts w:ascii="Times New Roman" w:cs="Times New Roman" w:eastAsia="SimSun" w:hAnsi="Times New Roman"/>
          <w:i/>
          <w:iCs/>
        </w:rPr>
        <w:t xml:space="preserve">SIAM Review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65</w:t>
      </w:r>
      <w:r>
        <w:rPr>
          <w:rFonts w:ascii="Times New Roman" w:cs="Times New Roman" w:eastAsia="SimSun" w:hAnsi="Times New Roman"/>
        </w:rPr>
        <w:t xml:space="preserve">, 471–492 (2023). doi:10.1137/20M1383811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071ee157192725d4aaedbf7b71e0ff621aac5b7.png"/><Relationship Id="rId8" Type="http://schemas.openxmlformats.org/officeDocument/2006/relationships/image" Target="media/291785c60e9220f912b152daf9256b1d60f4876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2026-08-10T08:23:57.298Z</dcterms:created>
  <dcterms:modified xsi:type="dcterms:W3CDTF">2026-08-10T08:23:57.330Z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